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E9F3A">
      <w:pPr>
        <w:pageBreakBefore w:val="0"/>
        <w:widowControl/>
        <w:kinsoku/>
        <w:wordWrap/>
        <w:overflowPunct/>
        <w:topLinePunct w:val="0"/>
        <w:bidi w:val="0"/>
        <w:adjustRightInd w:val="0"/>
        <w:snapToGrid w:val="0"/>
        <w:spacing w:before="164" w:beforeLines="50" w:after="164" w:afterLines="50" w:line="240" w:lineRule="auto"/>
        <w:jc w:val="left"/>
        <w:textAlignment w:val="auto"/>
        <w:rPr>
          <w:rFonts w:hint="default" w:ascii="Times New Roman" w:hAnsi="Times New Roman" w:eastAsia="仿宋_GB2312" w:cs="Times New Roman"/>
          <w:color w:val="000000"/>
          <w:sz w:val="28"/>
          <w:szCs w:val="28"/>
          <w:highlight w:val="none"/>
          <w:u w:val="none"/>
          <w:lang w:val="en-US" w:eastAsia="zh-CN"/>
        </w:rPr>
      </w:pPr>
      <w:bookmarkStart w:id="0" w:name="_Toc3879"/>
      <w:r>
        <w:rPr>
          <w:rFonts w:hint="eastAsia" w:ascii="Times New Roman" w:hAnsi="Times New Roman" w:eastAsia="仿宋_GB2312" w:cs="Times New Roman"/>
          <w:color w:val="000000"/>
          <w:sz w:val="28"/>
          <w:szCs w:val="28"/>
          <w:highlight w:val="none"/>
          <w:u w:val="none"/>
          <w:lang w:val="en-US" w:eastAsia="zh-CN"/>
        </w:rPr>
        <w:t>附件4 采购技术指标要求</w:t>
      </w:r>
    </w:p>
    <w:p w14:paraId="3D7C142C">
      <w:pPr>
        <w:pageBreakBefore w:val="0"/>
        <w:widowControl/>
        <w:numPr>
          <w:ilvl w:val="0"/>
          <w:numId w:val="0"/>
        </w:numPr>
        <w:kinsoku/>
        <w:wordWrap/>
        <w:overflowPunct/>
        <w:topLinePunct w:val="0"/>
        <w:bidi w:val="0"/>
        <w:adjustRightInd w:val="0"/>
        <w:snapToGrid w:val="0"/>
        <w:spacing w:before="164" w:beforeLines="50" w:after="164" w:afterLines="50" w:line="240" w:lineRule="auto"/>
        <w:ind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lang w:val="en-US" w:eastAsia="zh-CN"/>
        </w:rPr>
        <w:t>装置</w:t>
      </w:r>
      <w:r>
        <w:rPr>
          <w:rFonts w:hint="eastAsia" w:ascii="宋体" w:hAnsi="宋体" w:eastAsia="宋体" w:cs="宋体"/>
          <w:b/>
          <w:bCs/>
          <w:sz w:val="21"/>
          <w:szCs w:val="21"/>
        </w:rPr>
        <w:t>技术要求</w:t>
      </w:r>
      <w:bookmarkEnd w:id="0"/>
      <w:bookmarkStart w:id="1" w:name="_Toc190256026"/>
      <w:bookmarkEnd w:id="1"/>
      <w:bookmarkStart w:id="2" w:name="_Toc190256025"/>
      <w:bookmarkEnd w:id="2"/>
      <w:bookmarkStart w:id="3" w:name="_Toc190332387"/>
      <w:bookmarkEnd w:id="3"/>
      <w:bookmarkStart w:id="4" w:name="_Toc160193947"/>
      <w:bookmarkEnd w:id="4"/>
      <w:bookmarkStart w:id="5" w:name="_Toc190332388"/>
      <w:bookmarkEnd w:id="5"/>
      <w:bookmarkStart w:id="6" w:name="_Toc160193948"/>
      <w:bookmarkEnd w:id="6"/>
      <w:bookmarkStart w:id="7" w:name="_Toc22040"/>
      <w:bookmarkStart w:id="8" w:name="_Toc9651"/>
    </w:p>
    <w:bookmarkEnd w:id="7"/>
    <w:bookmarkEnd w:id="8"/>
    <w:p w14:paraId="786843A8">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（1）膜装置和辅助设施必须满足设计进水水质最高值下安全、稳定、长周期运行。</w:t>
      </w:r>
    </w:p>
    <w:p w14:paraId="53AE0177">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（2）纳滤装置的部件应集成在一个橇架上供货，包括管道、阀门、仪表等设施。撬架材质为碳钢防腐。</w:t>
      </w:r>
    </w:p>
    <w:p w14:paraId="4030AF01">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3）设备内部管路采用法兰与本体联接并考虑到检修和部件更换的便利条件，各内部部件的材质均应符合过流介质要求，并满足外表面也能耐受浓海水的防腐要求。为方便运输，外部管路拆卸后应将其紧固件及垫片另外包装并作好标识。</w:t>
      </w:r>
    </w:p>
    <w:p w14:paraId="25C10365">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（4）设备本体表面平滑，无明显凸凹，不得有毛刺、焊渣飞溅。</w:t>
      </w:r>
    </w:p>
    <w:p w14:paraId="1D1EF679">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5）设备内部部件、管件、阀门等应在发货前安装固定好，防止遗漏零件以及在运输过程中损坏或丢失。运输时所有外露接口均需密封，防止异物进入系统。所有设备和管道均应出厂前进行水压试验，试验压力应不小于设计压力的1.5倍。水压试验合格后，进行水冲洗，确认无机械杂质及其他异物残留在管道中。最后需将管道内残余的水排净。</w:t>
      </w:r>
    </w:p>
    <w:p w14:paraId="0C220CDF">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（6）所有对接焊逢坡口形式均按GB/T 985-2008有关规定执行。</w:t>
      </w:r>
    </w:p>
    <w:p w14:paraId="34647F67">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（7）在焊接过程中应按照正确的工艺规程进行焊接、打磨、修补，不允许出现任何焊接缺陷。</w:t>
      </w:r>
    </w:p>
    <w:p w14:paraId="4F3A7541">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8）机架本体采用电弧焊接，表面焊缝自然美观。所有焊缝均需连续焊接，不得出现虚焊和焊接不牢固现象。不锈钢管道需内外充氩气保护焊接外，必须做到焊缝单面焊双面成形。设备外形平整、美观，没有补口、裂口。</w:t>
      </w:r>
    </w:p>
    <w:p w14:paraId="3F0735D4">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（9）投标方根据招标方提供的PID图中框选投标方供货范围内容设计膜架及配套的管道、管件。</w:t>
      </w:r>
    </w:p>
    <w:p w14:paraId="14B69406">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10）系统内的膜壳、纳滤膜元件、阀门（仪表阀由投标方提供）、仪表由招标方提供，招标方提供相关资料供投标方完成膜架设计。如有需要，由招标方采买的阀门可发货至投标方工厂，仪表为项目现场由招标方安装，投标方根据招标方要求预留配套仪表安装接口及仪表阀。安装流量计的前后直管段需满足前≥5d后≥3d，d为流量计的公称直径。</w:t>
      </w:r>
    </w:p>
    <w:p w14:paraId="43DED9F7">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sz w:val="21"/>
          <w:szCs w:val="21"/>
        </w:rPr>
        <w:t>（11）</w:t>
      </w:r>
      <w:r>
        <w:rPr>
          <w:rFonts w:hint="eastAsia" w:ascii="宋体" w:hAnsi="宋体" w:eastAsia="宋体" w:cs="宋体"/>
          <w:bCs/>
          <w:color w:val="000000"/>
          <w:sz w:val="21"/>
          <w:szCs w:val="21"/>
        </w:rPr>
        <w:t>为便于设备检修和敷设管道电缆等辅助设施，设备橇架应在满足设备本体部件的荷载，同时能承受活荷载10kN/m</w:t>
      </w:r>
      <w:r>
        <w:rPr>
          <w:rFonts w:hint="eastAsia" w:ascii="宋体" w:hAnsi="宋体" w:eastAsia="宋体" w:cs="宋体"/>
          <w:bCs/>
          <w:color w:val="000000"/>
          <w:sz w:val="21"/>
          <w:szCs w:val="21"/>
          <w:vertAlign w:val="superscript"/>
        </w:rPr>
        <w:t>2</w:t>
      </w:r>
      <w:r>
        <w:rPr>
          <w:rFonts w:hint="eastAsia" w:ascii="宋体" w:hAnsi="宋体" w:eastAsia="宋体" w:cs="宋体"/>
          <w:bCs/>
          <w:color w:val="000000"/>
          <w:sz w:val="21"/>
          <w:szCs w:val="21"/>
        </w:rPr>
        <w:t>，设计抗震烈度7级。并需提供框架的FEA力学计算书。</w:t>
      </w:r>
    </w:p>
    <w:p w14:paraId="2607F818">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（12）纳滤装置</w:t>
      </w:r>
      <w:r>
        <w:rPr>
          <w:rFonts w:hint="eastAsia" w:ascii="宋体" w:hAnsi="宋体" w:eastAsia="宋体" w:cs="宋体"/>
          <w:bCs/>
          <w:sz w:val="21"/>
          <w:szCs w:val="21"/>
        </w:rPr>
        <w:t>不设就地控制箱，自控阀门直接接入DCS。</w:t>
      </w:r>
    </w:p>
    <w:p w14:paraId="2439D247">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13）每段纳滤的低点设置放空阀，高点设置排气阀，排气阀应能满足自动/手动操作功能（由于此处的排气与放空阀与膜架的设计管路设计相关，招标方提供的PID图不能满足此功能的，投标方应提出，并协助招标方修改PID）；每根纳滤压力容器的产水设置取样点，所有取样点应集中在取样盘。</w:t>
      </w:r>
    </w:p>
    <w:p w14:paraId="05B62F5D">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（14）高压焊缝需按要求做渗透检测及射线检测，射线检测结果Ⅲ级合格。</w:t>
      </w:r>
    </w:p>
    <w:p w14:paraId="0C487D20">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（15）投标方需提供膜架设计的三维模型，三维设计软件采用Autodesk Revit、Autodesk Plant 3D、PDMS、PDMAX、SolidWorks这几种形式中任意一种，并提交三维设计成果源格式文件。</w:t>
      </w:r>
    </w:p>
    <w:p w14:paraId="4A72B595">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（16）设备考虑到设备较大，运输受限，膜架可拆解成多个部分发运，投标方需保证各部件的连接的配件的完整性。</w:t>
      </w:r>
    </w:p>
    <w:p w14:paraId="63BA3C3A">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（17）膜处理车间厂房净空高度10m，同时，设备占地应尽量紧凑并能满足设备的操作和维护，可选择直联的膜壳。</w:t>
      </w:r>
      <w:bookmarkStart w:id="9" w:name="_Toc18073"/>
    </w:p>
    <w:p w14:paraId="21B80A6B">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2" w:firstLineChars="200"/>
        <w:jc w:val="left"/>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lang w:val="en-US" w:eastAsia="zh-CN"/>
        </w:rPr>
        <w:t>二、</w:t>
      </w:r>
      <w:r>
        <w:rPr>
          <w:rFonts w:hint="eastAsia" w:ascii="宋体" w:hAnsi="宋体" w:eastAsia="宋体" w:cs="宋体"/>
          <w:b/>
          <w:bCs w:val="0"/>
          <w:sz w:val="21"/>
          <w:szCs w:val="21"/>
        </w:rPr>
        <w:t>管道要求</w:t>
      </w:r>
      <w:bookmarkEnd w:id="9"/>
    </w:p>
    <w:p w14:paraId="5D7D1633">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管道设计应满足《工业金属管道设计规范》（GB50316）中的要求，管道壁厚在投标时应有详细计算书，金属管道腐蚀裕量不小于2mm，加工裕量不少于2mm。金属材料的设计许用应力应满足以下要求：</w:t>
      </w:r>
    </w:p>
    <w:p w14:paraId="4E710A34">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碳钢（20#或者Q235）≤120MPa，双相钢S22053≤180MPa，双相钢S25073≤200MPa，不锈钢S30408/S30403≤120MPa，不锈钢SS31603/S31608≤120MPa。</w:t>
      </w:r>
    </w:p>
    <w:p w14:paraId="076AE26E">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不锈钢管道过流介质为海水管道材质不得低于S25073，压力按高压4.0MPa、低压1.0MPa设计。</w:t>
      </w:r>
    </w:p>
    <w:p w14:paraId="003B2AFD">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所有管道选用应满足《化工配管用无缝及焊接钢管尺寸选用系列》（HG/T20553-2011）中Ia系列的要求。</w:t>
      </w:r>
    </w:p>
    <w:p w14:paraId="6536F656">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HDPE管道选用PE100，SDR17等级。供货厂家根据PID管径要求核算管道流速。管道流速不大于2.2m/s。一段产水流量720m3/h，二段产水流量 280m3/h。  </w:t>
      </w:r>
    </w:p>
    <w:p w14:paraId="631A100B">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UPVC管道选用工业级UPVC管道及管件，PN10/S10等级。</w:t>
      </w:r>
    </w:p>
    <w:p w14:paraId="1519C562">
      <w:pPr>
        <w:pStyle w:val="3"/>
        <w:pageBreakBefore w:val="0"/>
        <w:widowControl/>
        <w:numPr>
          <w:ilvl w:val="0"/>
          <w:numId w:val="0"/>
        </w:numPr>
        <w:kinsoku/>
        <w:wordWrap/>
        <w:overflowPunct/>
        <w:topLinePunct w:val="0"/>
        <w:bidi w:val="0"/>
        <w:adjustRightInd w:val="0"/>
        <w:snapToGrid w:val="0"/>
        <w:spacing w:before="164" w:beforeLines="50" w:after="164" w:afterLines="50" w:line="240" w:lineRule="auto"/>
        <w:ind w:firstLine="422" w:firstLineChars="200"/>
        <w:jc w:val="left"/>
        <w:textAlignment w:val="auto"/>
        <w:rPr>
          <w:rFonts w:hint="eastAsia" w:ascii="宋体" w:hAnsi="宋体" w:eastAsia="宋体" w:cs="宋体"/>
          <w:b/>
          <w:bCs/>
          <w:sz w:val="21"/>
          <w:szCs w:val="21"/>
        </w:rPr>
      </w:pPr>
      <w:bookmarkStart w:id="10" w:name="_Toc15092"/>
      <w:r>
        <w:rPr>
          <w:rFonts w:hint="eastAsia" w:ascii="宋体" w:hAnsi="宋体" w:cs="宋体"/>
          <w:b/>
          <w:bCs/>
          <w:sz w:val="21"/>
          <w:szCs w:val="21"/>
          <w:lang w:val="en-US" w:eastAsia="zh-CN"/>
        </w:rPr>
        <w:t>三、</w:t>
      </w:r>
      <w:r>
        <w:rPr>
          <w:rFonts w:hint="eastAsia" w:ascii="宋体" w:hAnsi="宋体" w:eastAsia="宋体" w:cs="宋体"/>
          <w:b/>
          <w:bCs/>
          <w:sz w:val="21"/>
          <w:szCs w:val="21"/>
        </w:rPr>
        <w:t>设备接口</w:t>
      </w:r>
      <w:bookmarkEnd w:id="10"/>
    </w:p>
    <w:p w14:paraId="23DD937B">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膜架对外各接口采用法兰连接，法兰标准执行HG/T 20592-2009B要求，压力等级按4.0/1.0MPa，法兰密封面采用RF</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压力表及压力变送器：M20×1.5外螺纹接口。</w:t>
      </w:r>
      <w:bookmarkStart w:id="11" w:name="_Toc190777199"/>
      <w:bookmarkStart w:id="12" w:name="_Toc9419"/>
    </w:p>
    <w:p w14:paraId="61225566">
      <w:pPr>
        <w:pageBreakBefore w:val="0"/>
        <w:widowControl/>
        <w:kinsoku/>
        <w:wordWrap/>
        <w:overflowPunct/>
        <w:topLinePunct w:val="0"/>
        <w:bidi w:val="0"/>
        <w:adjustRightInd w:val="0"/>
        <w:snapToGrid w:val="0"/>
        <w:spacing w:before="164" w:beforeLines="50" w:after="164" w:afterLines="50" w:line="240" w:lineRule="auto"/>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框架部分</w:t>
      </w:r>
      <w:bookmarkEnd w:id="11"/>
      <w:bookmarkEnd w:id="12"/>
    </w:p>
    <w:p w14:paraId="453B22E2">
      <w:pPr>
        <w:pageBreakBefore w:val="0"/>
        <w:widowControl/>
        <w:numPr>
          <w:ilvl w:val="0"/>
          <w:numId w:val="0"/>
        </w:numPr>
        <w:kinsoku/>
        <w:wordWrap/>
        <w:overflowPunct/>
        <w:topLinePunct w:val="0"/>
        <w:bidi w:val="0"/>
        <w:adjustRightInd w:val="0"/>
        <w:snapToGrid w:val="0"/>
        <w:spacing w:before="164" w:beforeLines="50" w:after="164" w:afterLines="50" w:line="240" w:lineRule="auto"/>
        <w:ind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框架强度需进行设计计算，满足相应的载荷及地震要求，并能提供框架FEA力学计算书；所有对接焊逢坡口形式均按GB/T985-2008有关规定执行；在焊接过程中应按照正确的工艺规程进行焊接、打磨、修补，不允许出现任何焊接缺陷；机架本体采用电弧焊接，表面焊缝自然美观。所有焊缝均需连续焊接，不得出现虚焊和焊接不牢固现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需满足以下标准：</w:t>
      </w:r>
    </w:p>
    <w:p w14:paraId="47F76353">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《GB 50205-2001》钢结构工程施工质量验收规范</w:t>
      </w:r>
      <w:r>
        <w:rPr>
          <w:rFonts w:hint="eastAsia" w:ascii="宋体" w:hAnsi="宋体" w:eastAsia="宋体" w:cs="宋体"/>
          <w:sz w:val="21"/>
          <w:szCs w:val="21"/>
          <w:lang w:eastAsia="zh-CN"/>
        </w:rPr>
        <w:t>、</w:t>
      </w:r>
      <w:r>
        <w:rPr>
          <w:rFonts w:hint="eastAsia" w:ascii="宋体" w:hAnsi="宋体" w:eastAsia="宋体" w:cs="宋体"/>
          <w:sz w:val="21"/>
          <w:szCs w:val="21"/>
        </w:rPr>
        <w:t>《GB 50661-2011》钢结构焊接规范</w:t>
      </w:r>
      <w:r>
        <w:rPr>
          <w:rFonts w:hint="eastAsia" w:ascii="宋体" w:hAnsi="宋体" w:eastAsia="宋体" w:cs="宋体"/>
          <w:sz w:val="21"/>
          <w:szCs w:val="21"/>
          <w:lang w:eastAsia="zh-CN"/>
        </w:rPr>
        <w:t>、</w:t>
      </w:r>
      <w:r>
        <w:rPr>
          <w:rFonts w:hint="eastAsia" w:ascii="宋体" w:hAnsi="宋体" w:eastAsia="宋体" w:cs="宋体"/>
          <w:sz w:val="21"/>
          <w:szCs w:val="21"/>
        </w:rPr>
        <w:t>《GB 50775-2012》钢结构工程施工规范</w:t>
      </w:r>
    </w:p>
    <w:p w14:paraId="290C3EB7">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5、防腐</w:t>
      </w:r>
      <w:r>
        <w:rPr>
          <w:rFonts w:hint="eastAsia" w:ascii="宋体" w:hAnsi="宋体" w:eastAsia="宋体" w:cs="宋体"/>
          <w:sz w:val="21"/>
          <w:szCs w:val="21"/>
        </w:rPr>
        <w:t>严格按照工业设备及管道防腐蚀工程技术标准要求，完成的防腐层应色泽均匀，平整，固化完全，不得有变色，流挂、气孔、气泡、剥离、开裂等现象。</w:t>
      </w:r>
    </w:p>
    <w:p w14:paraId="2FE49C61">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default" w:ascii="宋体" w:hAnsi="宋体" w:eastAsia="宋体" w:cs="宋体"/>
          <w:b/>
          <w:vanish/>
          <w:sz w:val="21"/>
          <w:szCs w:val="21"/>
          <w:lang w:val="en-US"/>
        </w:rPr>
        <w:sectPr>
          <w:pgSz w:w="11906" w:h="16838"/>
          <w:pgMar w:top="1361" w:right="1361" w:bottom="1361" w:left="1361" w:header="992" w:footer="992" w:gutter="0"/>
          <w:cols w:space="720" w:num="1"/>
          <w:docGrid w:type="lines" w:linePitch="326" w:charSpace="0"/>
        </w:sectPr>
      </w:pPr>
      <w:r>
        <w:rPr>
          <w:rFonts w:hint="eastAsia" w:ascii="宋体" w:hAnsi="宋体" w:eastAsia="宋体" w:cs="宋体"/>
          <w:sz w:val="21"/>
          <w:szCs w:val="21"/>
          <w:lang w:val="en-US" w:eastAsia="zh-CN"/>
        </w:rPr>
        <w:t>6、</w:t>
      </w:r>
      <w:r>
        <w:rPr>
          <w:rFonts w:hint="eastAsia" w:ascii="宋体" w:hAnsi="宋体" w:eastAsia="宋体" w:cs="宋体"/>
          <w:sz w:val="21"/>
          <w:szCs w:val="21"/>
        </w:rPr>
        <w:t>不锈钢管道焊接采用氩弧焊,不得出现裂纹，烧穿缺陷，符合相应的标准;焊缝要求单面焊双面成型，高压力焊缝需按要求做渗透检测及射线检测，射线检测结果Ⅲ级合格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需满足</w:t>
      </w:r>
      <w:r>
        <w:rPr>
          <w:rFonts w:hint="eastAsia" w:ascii="宋体" w:hAnsi="宋体" w:eastAsia="宋体" w:cs="宋体"/>
          <w:sz w:val="21"/>
          <w:szCs w:val="21"/>
        </w:rPr>
        <w:t>《NB/T 47014-2011》承压设备焊接工艺评定</w:t>
      </w:r>
      <w:r>
        <w:rPr>
          <w:rFonts w:hint="eastAsia" w:ascii="宋体" w:hAnsi="宋体" w:eastAsia="宋体" w:cs="宋体"/>
          <w:sz w:val="21"/>
          <w:szCs w:val="21"/>
          <w:lang w:eastAsia="zh-CN"/>
        </w:rPr>
        <w:t>、</w:t>
      </w:r>
      <w:r>
        <w:rPr>
          <w:rFonts w:hint="eastAsia" w:ascii="宋体" w:hAnsi="宋体" w:eastAsia="宋体" w:cs="宋体"/>
          <w:sz w:val="21"/>
          <w:szCs w:val="21"/>
        </w:rPr>
        <w:t>《GB 50236-2011》现场制备、工业管道焊接工程施工规范</w:t>
      </w:r>
      <w:r>
        <w:rPr>
          <w:rFonts w:hint="eastAsia" w:ascii="宋体" w:hAnsi="宋体" w:eastAsia="宋体" w:cs="宋体"/>
          <w:sz w:val="21"/>
          <w:szCs w:val="21"/>
          <w:lang w:eastAsia="zh-CN"/>
        </w:rPr>
        <w:t>、</w:t>
      </w:r>
      <w:r>
        <w:rPr>
          <w:rFonts w:hint="eastAsia" w:ascii="宋体" w:hAnsi="宋体" w:eastAsia="宋体" w:cs="宋体"/>
          <w:sz w:val="21"/>
          <w:szCs w:val="21"/>
        </w:rPr>
        <w:t>《GB 50184-2011》工业金属管道工程施工质量验收规范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vanish/>
          <w:sz w:val="21"/>
          <w:szCs w:val="21"/>
          <w:lang w:val="en-US" w:eastAsia="zh-CN"/>
        </w:rPr>
        <w:t xml:space="preserve">   </w:t>
      </w:r>
    </w:p>
    <w:p w14:paraId="295D256D">
      <w:pPr>
        <w:pStyle w:val="2"/>
        <w:pageBreakBefore w:val="0"/>
        <w:widowControl/>
        <w:numPr>
          <w:ilvl w:val="0"/>
          <w:numId w:val="0"/>
        </w:numPr>
        <w:kinsoku/>
        <w:wordWrap/>
        <w:overflowPunct/>
        <w:topLinePunct w:val="0"/>
        <w:bidi w:val="0"/>
        <w:adjustRightInd w:val="0"/>
        <w:snapToGrid w:val="0"/>
        <w:spacing w:before="164" w:beforeLines="50" w:after="164" w:afterLines="50" w:line="240" w:lineRule="auto"/>
        <w:ind w:left="0" w:leftChars="0" w:firstLine="422" w:firstLineChars="200"/>
        <w:jc w:val="left"/>
        <w:textAlignment w:val="auto"/>
        <w:rPr>
          <w:rFonts w:hint="eastAsia" w:ascii="宋体" w:hAnsi="宋体" w:eastAsia="宋体" w:cs="宋体"/>
          <w:sz w:val="21"/>
          <w:szCs w:val="21"/>
        </w:rPr>
      </w:pPr>
      <w:bookmarkStart w:id="13" w:name="_Toc11689"/>
      <w:r>
        <w:rPr>
          <w:rFonts w:hint="eastAsia" w:ascii="宋体" w:hAnsi="宋体" w:cs="宋体"/>
          <w:b/>
          <w:bCs/>
          <w:kern w:val="44"/>
          <w:sz w:val="21"/>
          <w:szCs w:val="21"/>
          <w:lang w:val="en-US" w:eastAsia="zh-CN" w:bidi="ar-SA"/>
        </w:rPr>
        <w:t>五</w:t>
      </w:r>
      <w:r>
        <w:rPr>
          <w:rFonts w:hint="eastAsia" w:ascii="宋体" w:hAnsi="宋体" w:eastAsia="宋体" w:cs="宋体"/>
          <w:b/>
          <w:bCs/>
          <w:kern w:val="44"/>
          <w:sz w:val="21"/>
          <w:szCs w:val="21"/>
          <w:lang w:val="en-US" w:eastAsia="zh-CN" w:bidi="ar-SA"/>
        </w:rPr>
        <w:t>、</w:t>
      </w:r>
      <w:r>
        <w:rPr>
          <w:rFonts w:hint="eastAsia" w:ascii="宋体" w:hAnsi="宋体" w:eastAsia="宋体" w:cs="宋体"/>
          <w:sz w:val="21"/>
          <w:szCs w:val="21"/>
        </w:rPr>
        <w:t>设备防腐要求</w:t>
      </w:r>
      <w:bookmarkEnd w:id="13"/>
    </w:p>
    <w:p w14:paraId="066CE8EF">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严格按照工业设备及管道防腐蚀工程技术标准要求，完成的防腐层应色泽均匀，平整，固化完全，不得有变色，流挂、气孔、气泡、剥离、开裂等现象。不锈钢部件加工完后对其进行表面酸洗钝化处理。各塑料件采用本体色，不做涂漆处理。</w:t>
      </w:r>
    </w:p>
    <w:p w14:paraId="785BA8FC">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设计温度在-20℃～120℃的不保温设备、设备附属钢结构的防腐蚀涂层应按下面要求执行：</w:t>
      </w:r>
    </w:p>
    <w:p w14:paraId="3B3ABAD4">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1）钢件表面除锈达Sa2.5级标准；</w:t>
      </w:r>
    </w:p>
    <w:p w14:paraId="619B9588">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2）底漆选用环氧富锌底漆，涂装1道,每道最小干膜厚度50μm；</w:t>
      </w:r>
    </w:p>
    <w:p w14:paraId="2318FCA5">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3）中间漆选用环氧云铁中间漆，涂装1道,每道最小干膜厚度100μm；</w:t>
      </w:r>
    </w:p>
    <w:p w14:paraId="4CE5AEA8">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4）面漆选用脂肪族聚氨酯面漆，涂装2道,每道最小干膜厚度50μm，颜色待定；</w:t>
      </w:r>
    </w:p>
    <w:p w14:paraId="06D61372">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5）涂层漆膜总厚度（干膜）不小于250μm；</w:t>
      </w:r>
    </w:p>
    <w:p w14:paraId="24D05C98">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6）油漆选用适应海洋环境的耐腐蚀产品，满足C4或C5的腐蚀环境要求。</w:t>
      </w:r>
    </w:p>
    <w:p w14:paraId="232E2D0A">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default" w:ascii="宋体" w:hAnsi="宋体" w:eastAsia="宋体" w:cs="宋体"/>
          <w:vanish/>
          <w:sz w:val="21"/>
          <w:szCs w:val="21"/>
          <w:lang w:val="en-US" w:eastAsia="zh-CN"/>
        </w:rPr>
        <w:sectPr>
          <w:pgSz w:w="11906" w:h="16838"/>
          <w:pgMar w:top="1361" w:right="1361" w:bottom="1361" w:left="1361" w:header="992" w:footer="992" w:gutter="0"/>
          <w:cols w:space="720" w:num="1"/>
          <w:docGrid w:type="lines" w:linePitch="326" w:charSpace="0"/>
        </w:sectPr>
      </w:pPr>
      <w:r>
        <w:rPr>
          <w:rFonts w:hint="eastAsia" w:ascii="宋体" w:hAnsi="宋体" w:eastAsia="宋体" w:cs="宋体"/>
          <w:sz w:val="21"/>
          <w:szCs w:val="21"/>
        </w:rPr>
        <w:t>7）运输过程中涂层的破损，严格按涂装工艺进行修复，其质量水平不低于原涂层的质量水平</w:t>
      </w:r>
      <w:r>
        <w:rPr>
          <w:rFonts w:hint="eastAsia" w:ascii="宋体" w:hAnsi="宋体" w:eastAsia="宋体" w:cs="宋体"/>
          <w:sz w:val="21"/>
          <w:szCs w:val="21"/>
          <w:lang w:val="en-US" w:eastAsia="zh-CN"/>
        </w:rPr>
        <w:t xml:space="preserve">    </w:t>
      </w:r>
      <w:r>
        <w:rPr>
          <w:rFonts w:hint="eastAsia" w:ascii="宋体" w:hAnsi="宋体" w:eastAsia="宋体" w:cs="宋体"/>
          <w:vanish/>
          <w:sz w:val="21"/>
          <w:szCs w:val="21"/>
          <w:lang w:val="en-US" w:eastAsia="zh-CN"/>
        </w:rPr>
        <w:t xml:space="preserve">   </w:t>
      </w:r>
    </w:p>
    <w:p w14:paraId="53B71382">
      <w:pPr>
        <w:pStyle w:val="2"/>
        <w:pageBreakBefore w:val="0"/>
        <w:widowControl/>
        <w:numPr>
          <w:ilvl w:val="0"/>
          <w:numId w:val="0"/>
        </w:numPr>
        <w:kinsoku/>
        <w:wordWrap/>
        <w:overflowPunct/>
        <w:topLinePunct w:val="0"/>
        <w:bidi w:val="0"/>
        <w:adjustRightInd w:val="0"/>
        <w:snapToGrid w:val="0"/>
        <w:spacing w:before="164" w:beforeLines="50" w:after="164" w:afterLines="50" w:line="240" w:lineRule="auto"/>
        <w:ind w:left="0" w:leftChars="0" w:firstLine="422" w:firstLineChars="200"/>
        <w:jc w:val="left"/>
        <w:textAlignment w:val="auto"/>
        <w:rPr>
          <w:rFonts w:hint="eastAsia" w:ascii="宋体" w:hAnsi="宋体" w:eastAsia="宋体" w:cs="宋体"/>
          <w:sz w:val="21"/>
          <w:szCs w:val="21"/>
        </w:rPr>
      </w:pPr>
      <w:bookmarkStart w:id="14" w:name="_Toc6090"/>
      <w:r>
        <w:rPr>
          <w:rFonts w:hint="eastAsia" w:ascii="宋体" w:hAnsi="宋体" w:cs="宋体"/>
          <w:b/>
          <w:bCs/>
          <w:kern w:val="44"/>
          <w:sz w:val="21"/>
          <w:szCs w:val="21"/>
          <w:lang w:val="en-US" w:eastAsia="zh-CN" w:bidi="ar-SA"/>
        </w:rPr>
        <w:t>六</w:t>
      </w:r>
      <w:r>
        <w:rPr>
          <w:rFonts w:hint="eastAsia" w:ascii="宋体" w:hAnsi="宋体" w:eastAsia="宋体" w:cs="宋体"/>
          <w:b/>
          <w:bCs/>
          <w:kern w:val="44"/>
          <w:sz w:val="21"/>
          <w:szCs w:val="21"/>
          <w:lang w:val="en-US" w:eastAsia="zh-CN" w:bidi="ar-SA"/>
        </w:rPr>
        <w:t>、</w:t>
      </w:r>
      <w:r>
        <w:rPr>
          <w:rFonts w:hint="eastAsia" w:ascii="宋体" w:hAnsi="宋体" w:eastAsia="宋体" w:cs="宋体"/>
          <w:sz w:val="21"/>
          <w:szCs w:val="21"/>
        </w:rPr>
        <w:t>工作范围</w:t>
      </w:r>
      <w:bookmarkEnd w:id="14"/>
    </w:p>
    <w:p w14:paraId="1D0FDDDF">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bookmarkStart w:id="15" w:name="_Toc160193972"/>
      <w:bookmarkEnd w:id="15"/>
      <w:bookmarkStart w:id="16" w:name="_Toc190256040"/>
      <w:bookmarkEnd w:id="16"/>
      <w:bookmarkStart w:id="17" w:name="_Toc190256039"/>
      <w:bookmarkEnd w:id="17"/>
      <w:bookmarkStart w:id="18" w:name="_Toc160193971"/>
      <w:bookmarkEnd w:id="18"/>
      <w:bookmarkStart w:id="19" w:name="_Toc190332401"/>
      <w:bookmarkEnd w:id="19"/>
      <w:bookmarkStart w:id="20" w:name="_Toc190332400"/>
      <w:bookmarkEnd w:id="20"/>
      <w:bookmarkStart w:id="21" w:name="_Toc336074733"/>
      <w:bookmarkStart w:id="22" w:name="_Toc205278537"/>
      <w:bookmarkStart w:id="23" w:name="_Toc330909476"/>
      <w:r>
        <w:rPr>
          <w:rFonts w:hint="eastAsia" w:ascii="宋体" w:hAnsi="宋体" w:eastAsia="宋体" w:cs="宋体"/>
          <w:sz w:val="21"/>
          <w:szCs w:val="21"/>
        </w:rPr>
        <w:t>（1）投标方对设备的全部技术、性能、设计、安全、可靠性及加工制造的部件质量全面负责。</w:t>
      </w:r>
    </w:p>
    <w:p w14:paraId="17CE09CF">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（2）投标方根据设计，提供膜壳的接口的尺寸及朝向、供招标方采购膜壳。</w:t>
      </w:r>
    </w:p>
    <w:p w14:paraId="632BF36E">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（3）投标方的工作范围包括供货范围内全部设备的设计、制造、试验、包装和运输，还包括现场对设备的调试进行指导。投标方派出技术好、水平</w:t>
      </w:r>
      <w:r>
        <w:rPr>
          <w:rFonts w:hint="eastAsia" w:ascii="宋体" w:hAnsi="宋体" w:eastAsia="宋体" w:cs="宋体"/>
          <w:sz w:val="21"/>
          <w:szCs w:val="21"/>
        </w:rPr>
        <w:t>高、工作认真负责的技术人员、检查人员在设备启动调试及投运期间进行现场技术指导和质量监督。</w:t>
      </w:r>
    </w:p>
    <w:p w14:paraId="336E69FF">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（4）投标方提供设计、制造、安装、运行、检验、使用和维修的技术文件和图纸。</w:t>
      </w:r>
    </w:p>
    <w:p w14:paraId="07A8E99F">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（5）投标方提供备品备件及专用工具，并保证在设备寿命期内提供备品备件。</w:t>
      </w:r>
    </w:p>
    <w:p w14:paraId="62C347E4">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（6）投标方保证所提供设备为设计思想先进、技术应用成熟、全新的、先进的、完整的和安全可靠的。</w:t>
      </w:r>
    </w:p>
    <w:p w14:paraId="049E617F">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（7）投标方应提供详细发货清单，清单中依次说明型号、数量、产地、生产厂家等内容。</w:t>
      </w:r>
    </w:p>
    <w:p w14:paraId="267F4AA4">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8）投标方应确保供货范围完整，应满足招标方对安装、调试、运行和设备性能的要求，并提供保证设备调试、投运相关的技术服务和配合。若在安装、调试、运行中发现缺项，投标方应补充供货，供货费用由投标方自理。</w:t>
      </w:r>
    </w:p>
    <w:p w14:paraId="3D2E89F9">
      <w:pPr>
        <w:pStyle w:val="3"/>
        <w:pageBreakBefore w:val="0"/>
        <w:widowControl/>
        <w:numPr>
          <w:ilvl w:val="0"/>
          <w:numId w:val="0"/>
        </w:numPr>
        <w:kinsoku/>
        <w:wordWrap/>
        <w:overflowPunct/>
        <w:topLinePunct w:val="0"/>
        <w:bidi w:val="0"/>
        <w:adjustRightInd w:val="0"/>
        <w:snapToGrid w:val="0"/>
        <w:spacing w:before="164" w:beforeLines="50" w:after="164" w:afterLines="50" w:line="240" w:lineRule="auto"/>
        <w:ind w:firstLine="422" w:firstLineChars="200"/>
        <w:jc w:val="left"/>
        <w:textAlignment w:val="auto"/>
        <w:rPr>
          <w:rFonts w:hint="eastAsia" w:ascii="宋体" w:hAnsi="宋体" w:eastAsia="宋体" w:cs="宋体"/>
          <w:sz w:val="21"/>
          <w:szCs w:val="21"/>
        </w:rPr>
      </w:pPr>
      <w:bookmarkStart w:id="24" w:name="_Toc25185"/>
      <w:bookmarkStart w:id="25" w:name="_Toc26411"/>
      <w:r>
        <w:rPr>
          <w:rFonts w:hint="eastAsia" w:ascii="宋体" w:hAnsi="宋体" w:cs="宋体"/>
          <w:sz w:val="21"/>
          <w:szCs w:val="21"/>
          <w:lang w:val="en-US" w:eastAsia="zh-CN"/>
        </w:rPr>
        <w:t>七、</w:t>
      </w:r>
      <w:r>
        <w:rPr>
          <w:rFonts w:hint="eastAsia" w:ascii="宋体" w:hAnsi="宋体" w:eastAsia="宋体" w:cs="宋体"/>
          <w:sz w:val="21"/>
          <w:szCs w:val="21"/>
        </w:rPr>
        <w:t>招标方配合设计方工作</w:t>
      </w:r>
      <w:bookmarkEnd w:id="21"/>
      <w:bookmarkEnd w:id="22"/>
      <w:bookmarkEnd w:id="23"/>
      <w:r>
        <w:rPr>
          <w:rFonts w:hint="eastAsia" w:ascii="宋体" w:hAnsi="宋体" w:eastAsia="宋体" w:cs="宋体"/>
          <w:sz w:val="21"/>
          <w:szCs w:val="21"/>
        </w:rPr>
        <w:t>范围</w:t>
      </w:r>
      <w:bookmarkEnd w:id="24"/>
      <w:bookmarkEnd w:id="25"/>
    </w:p>
    <w:p w14:paraId="444A39F9">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（1）提供设备的基本参数要求。</w:t>
      </w:r>
    </w:p>
    <w:p w14:paraId="64ABFD8F">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（2）提供外部环境条件、设备安装条件。</w:t>
      </w:r>
    </w:p>
    <w:p w14:paraId="7029E508">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（3）配合投标方的有关设计工作。</w:t>
      </w:r>
    </w:p>
    <w:p w14:paraId="7F52500F">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（4）投标方设计文件的确认和设备的验收。</w:t>
      </w:r>
    </w:p>
    <w:p w14:paraId="2EB9E540">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（5）实施设备的卸车及现场安装就位。</w:t>
      </w:r>
      <w:r>
        <w:rPr>
          <w:rFonts w:hint="eastAsia" w:ascii="宋体" w:hAnsi="宋体" w:eastAsia="宋体" w:cs="宋体"/>
          <w:sz w:val="21"/>
          <w:szCs w:val="21"/>
          <w:lang w:val="en-US" w:eastAsia="zh-CN"/>
        </w:rPr>
        <w:t xml:space="preserve">   </w:t>
      </w:r>
    </w:p>
    <w:p w14:paraId="7FC31158">
      <w:pPr>
        <w:pStyle w:val="3"/>
        <w:pageBreakBefore w:val="0"/>
        <w:widowControl/>
        <w:numPr>
          <w:ilvl w:val="0"/>
          <w:numId w:val="0"/>
        </w:numPr>
        <w:kinsoku/>
        <w:wordWrap/>
        <w:overflowPunct/>
        <w:topLinePunct w:val="0"/>
        <w:bidi w:val="0"/>
        <w:adjustRightInd w:val="0"/>
        <w:snapToGrid w:val="0"/>
        <w:spacing w:before="164" w:beforeLines="50" w:after="164" w:afterLines="50" w:line="240" w:lineRule="auto"/>
        <w:ind w:firstLine="422" w:firstLineChars="200"/>
        <w:jc w:val="left"/>
        <w:textAlignment w:val="auto"/>
        <w:rPr>
          <w:rFonts w:hint="default" w:ascii="宋体" w:hAnsi="宋体" w:eastAsia="宋体" w:cs="宋体"/>
          <w:b w:val="0"/>
          <w:bCs w:val="0"/>
          <w:vanish/>
          <w:sz w:val="21"/>
          <w:szCs w:val="21"/>
          <w:lang w:val="en-US" w:eastAsia="zh-CN"/>
        </w:rPr>
        <w:sectPr>
          <w:pgSz w:w="11906" w:h="16838"/>
          <w:pgMar w:top="1361" w:right="1361" w:bottom="1361" w:left="1361" w:header="992" w:footer="992" w:gutter="0"/>
          <w:cols w:space="720" w:num="1"/>
          <w:docGrid w:type="lines" w:linePitch="326" w:charSpace="0"/>
        </w:sectPr>
      </w:pPr>
      <w:bookmarkStart w:id="26" w:name="_Toc20127"/>
      <w:bookmarkStart w:id="27" w:name="_Toc7226"/>
      <w:bookmarkStart w:id="28" w:name="_Toc515955082"/>
      <w:bookmarkStart w:id="29" w:name="_Toc347476370"/>
      <w:bookmarkStart w:id="30" w:name="_Toc3929"/>
      <w:bookmarkStart w:id="31" w:name="_Toc353636244"/>
      <w:bookmarkStart w:id="32" w:name="_Toc493856295"/>
      <w:bookmarkStart w:id="33" w:name="_Toc19521"/>
      <w:bookmarkStart w:id="34" w:name="_Toc9675"/>
      <w:bookmarkStart w:id="35" w:name="_Toc351651545"/>
      <w:bookmarkStart w:id="36" w:name="_Toc328057179"/>
      <w:r>
        <w:rPr>
          <w:rFonts w:hint="eastAsia" w:ascii="宋体" w:hAnsi="宋体" w:cs="宋体"/>
          <w:b/>
          <w:bCs/>
          <w:sz w:val="21"/>
          <w:szCs w:val="21"/>
          <w:lang w:val="en-US" w:eastAsia="zh-CN"/>
        </w:rPr>
        <w:t>八、</w:t>
      </w:r>
      <w:r>
        <w:rPr>
          <w:rFonts w:hint="eastAsia" w:ascii="宋体" w:hAnsi="宋体" w:eastAsia="宋体" w:cs="宋体"/>
          <w:b/>
          <w:bCs/>
          <w:sz w:val="21"/>
          <w:szCs w:val="21"/>
        </w:rPr>
        <w:t>交货方式</w:t>
      </w:r>
      <w:bookmarkEnd w:id="26"/>
      <w:r>
        <w:rPr>
          <w:rFonts w:hint="eastAsia" w:ascii="宋体" w:hAnsi="宋体" w:cs="宋体"/>
          <w:b/>
          <w:bCs/>
          <w:sz w:val="21"/>
          <w:szCs w:val="21"/>
          <w:lang w:eastAsia="zh-CN"/>
        </w:rPr>
        <w:t>：</w:t>
      </w:r>
      <w:r>
        <w:rPr>
          <w:rFonts w:hint="eastAsia" w:ascii="宋体" w:hAnsi="宋体" w:eastAsia="宋体" w:cs="宋体"/>
          <w:b w:val="0"/>
          <w:bCs w:val="0"/>
          <w:sz w:val="21"/>
          <w:szCs w:val="21"/>
        </w:rPr>
        <w:t>交货方式为车板交货</w:t>
      </w:r>
      <w:bookmarkStart w:id="37" w:name="_Toc23423"/>
      <w:r>
        <w:rPr>
          <w:rFonts w:hint="eastAsia" w:ascii="宋体" w:hAnsi="宋体" w:cs="宋体"/>
          <w:b w:val="0"/>
          <w:bCs w:val="0"/>
          <w:sz w:val="21"/>
          <w:szCs w:val="21"/>
          <w:lang w:eastAsia="zh-CN"/>
        </w:rPr>
        <w:t>，</w:t>
      </w:r>
      <w:r>
        <w:rPr>
          <w:rFonts w:hint="eastAsia" w:ascii="宋体" w:hAnsi="宋体" w:eastAsia="宋体" w:cs="宋体"/>
          <w:b w:val="0"/>
          <w:bCs w:val="0"/>
          <w:sz w:val="21"/>
          <w:szCs w:val="21"/>
        </w:rPr>
        <w:t>交货地点</w:t>
      </w:r>
      <w:bookmarkEnd w:id="37"/>
      <w:r>
        <w:rPr>
          <w:rFonts w:hint="eastAsia" w:ascii="宋体" w:hAnsi="宋体" w:cs="宋体"/>
          <w:b w:val="0"/>
          <w:bCs w:val="0"/>
          <w:sz w:val="21"/>
          <w:szCs w:val="21"/>
          <w:lang w:eastAsia="zh-CN"/>
        </w:rPr>
        <w:t>：</w:t>
      </w:r>
      <w:r>
        <w:rPr>
          <w:rFonts w:hint="eastAsia" w:ascii="宋体" w:hAnsi="宋体" w:eastAsia="宋体" w:cs="宋体"/>
          <w:b w:val="0"/>
          <w:bCs w:val="0"/>
          <w:sz w:val="21"/>
          <w:szCs w:val="21"/>
        </w:rPr>
        <w:t>招标方指定</w:t>
      </w:r>
      <w:r>
        <w:rPr>
          <w:rFonts w:hint="eastAsia" w:ascii="宋体" w:hAnsi="宋体" w:cs="宋体"/>
          <w:b w:val="0"/>
          <w:bCs w:val="0"/>
          <w:sz w:val="21"/>
          <w:szCs w:val="21"/>
          <w:lang w:val="en-US" w:eastAsia="zh-CN"/>
        </w:rPr>
        <w:t xml:space="preserve">地点                                </w:t>
      </w:r>
    </w:p>
    <w:bookmarkEnd w:id="27"/>
    <w:bookmarkEnd w:id="28"/>
    <w:bookmarkEnd w:id="29"/>
    <w:bookmarkEnd w:id="30"/>
    <w:bookmarkEnd w:id="31"/>
    <w:bookmarkEnd w:id="32"/>
    <w:bookmarkEnd w:id="33"/>
    <w:bookmarkEnd w:id="34"/>
    <w:bookmarkEnd w:id="35"/>
    <w:bookmarkEnd w:id="36"/>
    <w:p w14:paraId="277F8901">
      <w:pPr>
        <w:pageBreakBefore w:val="0"/>
        <w:widowControl/>
        <w:kinsoku/>
        <w:wordWrap/>
        <w:overflowPunct/>
        <w:topLinePunct w:val="0"/>
        <w:bidi w:val="0"/>
        <w:adjustRightInd w:val="0"/>
        <w:snapToGrid w:val="0"/>
        <w:spacing w:before="164" w:beforeLines="50" w:after="164" w:afterLines="50" w:line="240" w:lineRule="auto"/>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九、</w:t>
      </w:r>
      <w:r>
        <w:rPr>
          <w:rFonts w:hint="eastAsia" w:ascii="宋体" w:hAnsi="宋体" w:eastAsia="宋体" w:cs="宋体"/>
          <w:b/>
          <w:bCs/>
          <w:sz w:val="21"/>
          <w:szCs w:val="21"/>
          <w:highlight w:val="none"/>
        </w:rPr>
        <w:t>采购项目的质量保证期</w:t>
      </w:r>
    </w:p>
    <w:p w14:paraId="1336C908">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设备的质保期为：正常使用条件下，设备安装、调试、验收合格后24个月。质保期内出现产品质量问题，投标方在接到招标方通知后，优先进行电话沟通，如遇不能有效解决的情况，投标方48小时内派专业技术人员到现场处理，所产生的费用由投标方承担。由于投标方原因达不到本技术规格书所要求的性能指标，所需进行相关改造所发生的费用由投标方承担，若采用技术手段仍然无法修复的，需要免费更换达到技术协议指标要求，直到质保期满。</w:t>
      </w:r>
    </w:p>
    <w:p w14:paraId="5010713B">
      <w:pPr>
        <w:pageBreakBefore w:val="0"/>
        <w:widowControl/>
        <w:numPr>
          <w:ilvl w:val="0"/>
          <w:numId w:val="0"/>
        </w:numPr>
        <w:kinsoku/>
        <w:wordWrap/>
        <w:overflowPunct/>
        <w:topLinePunct w:val="0"/>
        <w:bidi w:val="0"/>
        <w:adjustRightInd w:val="0"/>
        <w:snapToGrid w:val="0"/>
        <w:spacing w:before="164" w:beforeLines="50" w:after="164" w:afterLines="50" w:line="240" w:lineRule="auto"/>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lang w:val="en-US" w:eastAsia="zh-CN" w:bidi="ar-SA"/>
        </w:rPr>
        <w:t>十、</w:t>
      </w:r>
      <w:r>
        <w:rPr>
          <w:rFonts w:hint="eastAsia" w:ascii="宋体" w:hAnsi="宋体" w:eastAsia="宋体" w:cs="宋体"/>
          <w:b/>
          <w:bCs/>
          <w:sz w:val="21"/>
          <w:szCs w:val="21"/>
          <w:highlight w:val="none"/>
        </w:rPr>
        <w:t>制造和验收</w:t>
      </w:r>
    </w:p>
    <w:p w14:paraId="57A6594E">
      <w:pPr>
        <w:pageBreakBefore w:val="0"/>
        <w:widowControl/>
        <w:numPr>
          <w:ilvl w:val="0"/>
          <w:numId w:val="0"/>
        </w:numPr>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设备的质保期为：正常使用条件下，设备安装、调试、验收合格后24个月。质保期内出现产品质量问题，投标方在接到招标方通知后，优先进行电话沟通，如遇不能有效解决的情况，投标方48小时内派专业技术人员到现场处理，所产生的费用由投标方承担。由于投标方原因达不到本技术规格书所要求的性能指标，所需进行相关改造所发生的费用由投标方承担，若采用技术手段仍然无法修复的，需要免费更换达到技术协议指标要求，直到质保期满</w:t>
      </w:r>
    </w:p>
    <w:p w14:paraId="3B9261D1">
      <w:pPr>
        <w:pageBreakBefore w:val="0"/>
        <w:widowControl/>
        <w:numPr>
          <w:ilvl w:val="0"/>
          <w:numId w:val="0"/>
        </w:numPr>
        <w:kinsoku/>
        <w:wordWrap/>
        <w:overflowPunct/>
        <w:topLinePunct w:val="0"/>
        <w:bidi w:val="0"/>
        <w:adjustRightInd w:val="0"/>
        <w:snapToGrid w:val="0"/>
        <w:spacing w:before="164" w:beforeLines="50" w:after="164" w:afterLines="50" w:line="240" w:lineRule="auto"/>
        <w:ind w:firstLine="422" w:firstLineChars="200"/>
        <w:jc w:val="left"/>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十一、根据甲方需求竞价文件需附设计图</w:t>
      </w:r>
    </w:p>
    <w:p w14:paraId="56AB6E0F">
      <w:pPr>
        <w:rPr>
          <w:rFonts w:hint="eastAsia" w:ascii="宋体" w:hAnsi="宋体" w:eastAsia="宋体" w:cs="宋体"/>
          <w:sz w:val="21"/>
          <w:szCs w:val="21"/>
          <w:highlight w:val="none"/>
        </w:rPr>
      </w:pPr>
      <w:bookmarkStart w:id="38" w:name="_GoBack"/>
      <w:bookmarkEnd w:id="38"/>
    </w:p>
    <w:p w14:paraId="199B9CD6">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highlight w:val="none"/>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236BA">
    <w:pPr>
      <w:pStyle w:val="7"/>
      <w:jc w:val="center"/>
      <w:rPr>
        <w:rFonts w:ascii="Arial" w:hAnsi="Arial" w:cs="Arial"/>
      </w:rPr>
    </w:pPr>
    <w:r>
      <w:rPr>
        <w:rStyle w:val="12"/>
        <w:rFonts w:ascii="Arial" w:hAnsi="Arial" w:cs="Arial"/>
      </w:rPr>
      <w:fldChar w:fldCharType="begin"/>
    </w:r>
    <w:r>
      <w:rPr>
        <w:rStyle w:val="12"/>
        <w:rFonts w:ascii="Arial" w:hAnsi="Arial" w:cs="Arial"/>
      </w:rPr>
      <w:instrText xml:space="preserve"> PAGE </w:instrText>
    </w:r>
    <w:r>
      <w:rPr>
        <w:rStyle w:val="12"/>
        <w:rFonts w:ascii="Arial" w:hAnsi="Arial" w:cs="Arial"/>
      </w:rPr>
      <w:fldChar w:fldCharType="separate"/>
    </w:r>
    <w:r>
      <w:rPr>
        <w:rStyle w:val="12"/>
        <w:rFonts w:ascii="Arial" w:hAnsi="Arial" w:cs="Arial"/>
      </w:rPr>
      <w:t>1</w:t>
    </w:r>
    <w:r>
      <w:rPr>
        <w:rStyle w:val="12"/>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70ED5B"/>
    <w:multiLevelType w:val="multilevel"/>
    <w:tmpl w:val="E170ED5B"/>
    <w:lvl w:ilvl="0" w:tentative="0">
      <w:start w:val="1"/>
      <w:numFmt w:val="decimal"/>
      <w:pStyle w:val="3"/>
      <w:lvlText w:val="%1."/>
      <w:lvlJc w:val="left"/>
      <w:pPr>
        <w:ind w:left="0" w:firstLine="0"/>
      </w:pPr>
      <w:rPr>
        <w:rFonts w:hint="eastAsia"/>
      </w:rPr>
    </w:lvl>
    <w:lvl w:ilvl="1" w:tentative="0">
      <w:start w:val="1"/>
      <w:numFmt w:val="decimal"/>
      <w:lvlRestart w:val="0"/>
      <w:lvlText w:val="%1.%2"/>
      <w:lvlJc w:val="left"/>
      <w:pPr>
        <w:ind w:left="0" w:firstLine="0"/>
      </w:pPr>
      <w:rPr>
        <w:rFonts w:hint="default"/>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3CE3C6E8"/>
    <w:multiLevelType w:val="singleLevel"/>
    <w:tmpl w:val="3CE3C6E8"/>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LcwMzUztLA0MzU3MTdX0lEKTi0uzszPAykwrAUAhLD5uSwAAAA="/>
  </w:docVars>
  <w:rsids>
    <w:rsidRoot w:val="00CA5322"/>
    <w:rsid w:val="00036844"/>
    <w:rsid w:val="00041173"/>
    <w:rsid w:val="00097E35"/>
    <w:rsid w:val="000B4CBF"/>
    <w:rsid w:val="001E366A"/>
    <w:rsid w:val="00294091"/>
    <w:rsid w:val="003034D6"/>
    <w:rsid w:val="0039126D"/>
    <w:rsid w:val="004A538F"/>
    <w:rsid w:val="00541E68"/>
    <w:rsid w:val="006322BF"/>
    <w:rsid w:val="006700AF"/>
    <w:rsid w:val="006D0CE9"/>
    <w:rsid w:val="006D4B83"/>
    <w:rsid w:val="006E6060"/>
    <w:rsid w:val="00732AB6"/>
    <w:rsid w:val="00774124"/>
    <w:rsid w:val="007E268A"/>
    <w:rsid w:val="008071CB"/>
    <w:rsid w:val="00851D5E"/>
    <w:rsid w:val="008554D3"/>
    <w:rsid w:val="00890722"/>
    <w:rsid w:val="0091447A"/>
    <w:rsid w:val="00950889"/>
    <w:rsid w:val="009A1AAB"/>
    <w:rsid w:val="00A23789"/>
    <w:rsid w:val="00A46803"/>
    <w:rsid w:val="00A85002"/>
    <w:rsid w:val="00B72649"/>
    <w:rsid w:val="00B85BC8"/>
    <w:rsid w:val="00BB33AB"/>
    <w:rsid w:val="00CA5322"/>
    <w:rsid w:val="00D726A4"/>
    <w:rsid w:val="00E13160"/>
    <w:rsid w:val="00E57FD6"/>
    <w:rsid w:val="00E86AAB"/>
    <w:rsid w:val="00EE7FE9"/>
    <w:rsid w:val="00F71021"/>
    <w:rsid w:val="00F85348"/>
    <w:rsid w:val="00FB42E9"/>
    <w:rsid w:val="00FC3A34"/>
    <w:rsid w:val="014C0695"/>
    <w:rsid w:val="025D4D8E"/>
    <w:rsid w:val="02B0310F"/>
    <w:rsid w:val="03443858"/>
    <w:rsid w:val="054933A7"/>
    <w:rsid w:val="06113EC5"/>
    <w:rsid w:val="074A6C5C"/>
    <w:rsid w:val="074E709E"/>
    <w:rsid w:val="07637AF3"/>
    <w:rsid w:val="08596590"/>
    <w:rsid w:val="0981699B"/>
    <w:rsid w:val="0A951569"/>
    <w:rsid w:val="0C4F4A64"/>
    <w:rsid w:val="0C992E66"/>
    <w:rsid w:val="0DC14423"/>
    <w:rsid w:val="0E6B438E"/>
    <w:rsid w:val="0E8536A2"/>
    <w:rsid w:val="0FC81E9D"/>
    <w:rsid w:val="0FD3116E"/>
    <w:rsid w:val="0FFA1E6E"/>
    <w:rsid w:val="0FFF1232"/>
    <w:rsid w:val="1111746F"/>
    <w:rsid w:val="11C80118"/>
    <w:rsid w:val="11DF1BC7"/>
    <w:rsid w:val="164A0F99"/>
    <w:rsid w:val="176D73C9"/>
    <w:rsid w:val="19855777"/>
    <w:rsid w:val="19992AF7"/>
    <w:rsid w:val="1A275652"/>
    <w:rsid w:val="1B0E4A1F"/>
    <w:rsid w:val="1CAC2742"/>
    <w:rsid w:val="1CC47A8B"/>
    <w:rsid w:val="1CEB5018"/>
    <w:rsid w:val="1D1D0A04"/>
    <w:rsid w:val="1D434E54"/>
    <w:rsid w:val="1D661F33"/>
    <w:rsid w:val="1DBB1072"/>
    <w:rsid w:val="1DBE097F"/>
    <w:rsid w:val="1F7312F5"/>
    <w:rsid w:val="1F7E1A5B"/>
    <w:rsid w:val="20BE4E13"/>
    <w:rsid w:val="20D67D8D"/>
    <w:rsid w:val="21FB4DA3"/>
    <w:rsid w:val="225278E7"/>
    <w:rsid w:val="252C4420"/>
    <w:rsid w:val="27795292"/>
    <w:rsid w:val="2A621750"/>
    <w:rsid w:val="2A924D25"/>
    <w:rsid w:val="2A9636EF"/>
    <w:rsid w:val="2AC1385C"/>
    <w:rsid w:val="2B5D3585"/>
    <w:rsid w:val="2C424529"/>
    <w:rsid w:val="2C4A141C"/>
    <w:rsid w:val="2DA51213"/>
    <w:rsid w:val="2DB416CC"/>
    <w:rsid w:val="2E3558C9"/>
    <w:rsid w:val="2ECB2EFB"/>
    <w:rsid w:val="2F327502"/>
    <w:rsid w:val="309C4C54"/>
    <w:rsid w:val="322748ED"/>
    <w:rsid w:val="324440A9"/>
    <w:rsid w:val="32E93950"/>
    <w:rsid w:val="33A8380B"/>
    <w:rsid w:val="37104E51"/>
    <w:rsid w:val="37117919"/>
    <w:rsid w:val="394144E6"/>
    <w:rsid w:val="3A5D3CE1"/>
    <w:rsid w:val="3A7909FE"/>
    <w:rsid w:val="3B773E9D"/>
    <w:rsid w:val="3C1063F2"/>
    <w:rsid w:val="3ED03C16"/>
    <w:rsid w:val="3EF87C47"/>
    <w:rsid w:val="40153FD6"/>
    <w:rsid w:val="404B5C4A"/>
    <w:rsid w:val="408A281A"/>
    <w:rsid w:val="40D774DE"/>
    <w:rsid w:val="40D82635"/>
    <w:rsid w:val="42277FF1"/>
    <w:rsid w:val="434150E2"/>
    <w:rsid w:val="43514E6A"/>
    <w:rsid w:val="446B0669"/>
    <w:rsid w:val="44CB560E"/>
    <w:rsid w:val="45010FCD"/>
    <w:rsid w:val="473F7B8B"/>
    <w:rsid w:val="47DE73A4"/>
    <w:rsid w:val="4828061F"/>
    <w:rsid w:val="48B6167F"/>
    <w:rsid w:val="4AD51BEA"/>
    <w:rsid w:val="4BCF02FE"/>
    <w:rsid w:val="4D283D12"/>
    <w:rsid w:val="4DEF230B"/>
    <w:rsid w:val="4E343CBC"/>
    <w:rsid w:val="507B0387"/>
    <w:rsid w:val="50A0169A"/>
    <w:rsid w:val="511E6A63"/>
    <w:rsid w:val="53A13004"/>
    <w:rsid w:val="53F817ED"/>
    <w:rsid w:val="54B524F1"/>
    <w:rsid w:val="558E1CA0"/>
    <w:rsid w:val="55E464CD"/>
    <w:rsid w:val="56F665C8"/>
    <w:rsid w:val="589753BB"/>
    <w:rsid w:val="594352B9"/>
    <w:rsid w:val="594F1212"/>
    <w:rsid w:val="599065CE"/>
    <w:rsid w:val="59D423B5"/>
    <w:rsid w:val="5AF251E8"/>
    <w:rsid w:val="5B631C42"/>
    <w:rsid w:val="5D4635C9"/>
    <w:rsid w:val="5D5932FD"/>
    <w:rsid w:val="5D834EF3"/>
    <w:rsid w:val="5DDC3F2E"/>
    <w:rsid w:val="5E451AD3"/>
    <w:rsid w:val="5EB427B5"/>
    <w:rsid w:val="5EC66B76"/>
    <w:rsid w:val="5EF332DD"/>
    <w:rsid w:val="5F4D434E"/>
    <w:rsid w:val="602E0B54"/>
    <w:rsid w:val="612400C6"/>
    <w:rsid w:val="61ED637C"/>
    <w:rsid w:val="628D235F"/>
    <w:rsid w:val="63506F50"/>
    <w:rsid w:val="639B63EA"/>
    <w:rsid w:val="63A4104A"/>
    <w:rsid w:val="640460DA"/>
    <w:rsid w:val="64BC23C3"/>
    <w:rsid w:val="658E1FB1"/>
    <w:rsid w:val="6686712D"/>
    <w:rsid w:val="6707201B"/>
    <w:rsid w:val="67385087"/>
    <w:rsid w:val="678C42CF"/>
    <w:rsid w:val="67BF28F6"/>
    <w:rsid w:val="69831701"/>
    <w:rsid w:val="699F29DF"/>
    <w:rsid w:val="6A1F58CE"/>
    <w:rsid w:val="6B1B4499"/>
    <w:rsid w:val="6B7D28AC"/>
    <w:rsid w:val="6C8727DA"/>
    <w:rsid w:val="6F3A2512"/>
    <w:rsid w:val="6F8C7562"/>
    <w:rsid w:val="70A1528F"/>
    <w:rsid w:val="70DF7B65"/>
    <w:rsid w:val="724539F8"/>
    <w:rsid w:val="72D8486C"/>
    <w:rsid w:val="734F71EF"/>
    <w:rsid w:val="73D43285"/>
    <w:rsid w:val="74371BBB"/>
    <w:rsid w:val="750B717B"/>
    <w:rsid w:val="75210DC6"/>
    <w:rsid w:val="76284602"/>
    <w:rsid w:val="766F3739"/>
    <w:rsid w:val="76D91C86"/>
    <w:rsid w:val="77884AB3"/>
    <w:rsid w:val="78866B18"/>
    <w:rsid w:val="788F00C3"/>
    <w:rsid w:val="78FD6DDA"/>
    <w:rsid w:val="79404F13"/>
    <w:rsid w:val="79905EA0"/>
    <w:rsid w:val="7A872D90"/>
    <w:rsid w:val="7AD946BD"/>
    <w:rsid w:val="7B443B72"/>
    <w:rsid w:val="7B51340D"/>
    <w:rsid w:val="7E4D4360"/>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numPr>
        <w:ilvl w:val="0"/>
        <w:numId w:val="1"/>
      </w:numPr>
      <w:spacing w:before="240" w:after="240"/>
      <w:ind w:firstLine="0" w:firstLineChars="0"/>
      <w:outlineLvl w:val="0"/>
    </w:pPr>
    <w:rPr>
      <w:rFonts w:ascii="Times New Roman" w:hAnsi="Times New Roman" w:eastAsia="宋体"/>
      <w:b/>
      <w:bCs/>
      <w:kern w:val="44"/>
      <w:sz w:val="21"/>
      <w:szCs w:val="44"/>
    </w:rPr>
  </w:style>
  <w:style w:type="paragraph" w:styleId="3">
    <w:name w:val="heading 2"/>
    <w:basedOn w:val="1"/>
    <w:next w:val="1"/>
    <w:qFormat/>
    <w:uiPriority w:val="0"/>
    <w:pPr>
      <w:keepNext/>
      <w:keepLines/>
      <w:numPr>
        <w:ilvl w:val="0"/>
        <w:numId w:val="2"/>
      </w:numPr>
      <w:spacing w:before="120" w:after="120" w:line="240" w:lineRule="auto"/>
      <w:ind w:firstLine="0" w:firstLineChars="0"/>
      <w:outlineLvl w:val="1"/>
    </w:pPr>
    <w:rPr>
      <w:rFonts w:ascii="Arial" w:hAnsi="Arial" w:eastAsia="宋体"/>
      <w:b/>
      <w:bCs/>
      <w:sz w:val="21"/>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4"/>
    <w:unhideWhenUsed/>
    <w:qFormat/>
    <w:uiPriority w:val="0"/>
    <w:pPr>
      <w:widowControl w:val="0"/>
      <w:adjustRightInd/>
      <w:snapToGrid/>
      <w:spacing w:after="120"/>
      <w:jc w:val="both"/>
    </w:pPr>
    <w:rPr>
      <w:rFonts w:ascii="Times New Roman" w:hAnsi="Times New Roman" w:eastAsia="宋体" w:cs="Times New Roman"/>
      <w:kern w:val="2"/>
      <w:sz w:val="20"/>
      <w:szCs w:val="20"/>
    </w:rPr>
  </w:style>
  <w:style w:type="paragraph" w:styleId="5">
    <w:name w:val="Body Text Indent"/>
    <w:basedOn w:val="1"/>
    <w:link w:val="15"/>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6">
    <w:name w:val="Balloon Text"/>
    <w:basedOn w:val="1"/>
    <w:link w:val="19"/>
    <w:semiHidden/>
    <w:unhideWhenUsed/>
    <w:qFormat/>
    <w:uiPriority w:val="99"/>
    <w:pPr>
      <w:spacing w:after="0"/>
    </w:pPr>
    <w:rPr>
      <w:sz w:val="18"/>
      <w:szCs w:val="18"/>
    </w:rPr>
  </w:style>
  <w:style w:type="paragraph" w:styleId="7">
    <w:name w:val="footer"/>
    <w:basedOn w:val="1"/>
    <w:link w:val="16"/>
    <w:unhideWhenUsed/>
    <w:qFormat/>
    <w:uiPriority w:val="99"/>
    <w:pPr>
      <w:tabs>
        <w:tab w:val="center" w:pos="4153"/>
        <w:tab w:val="right" w:pos="8306"/>
      </w:tabs>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table" w:styleId="10">
    <w:name w:val="Table Grid"/>
    <w:basedOn w:val="9"/>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style>
  <w:style w:type="character" w:styleId="13">
    <w:name w:val="annotation reference"/>
    <w:unhideWhenUsed/>
    <w:qFormat/>
    <w:uiPriority w:val="99"/>
    <w:rPr>
      <w:sz w:val="21"/>
      <w:szCs w:val="21"/>
    </w:rPr>
  </w:style>
  <w:style w:type="character" w:customStyle="1" w:styleId="14">
    <w:name w:val="正文文本 Char"/>
    <w:basedOn w:val="11"/>
    <w:link w:val="4"/>
    <w:qFormat/>
    <w:uiPriority w:val="0"/>
    <w:rPr>
      <w:rFonts w:ascii="Times New Roman" w:hAnsi="Times New Roman" w:eastAsia="宋体" w:cs="Times New Roman"/>
      <w:sz w:val="20"/>
      <w:szCs w:val="20"/>
    </w:rPr>
  </w:style>
  <w:style w:type="character" w:customStyle="1" w:styleId="15">
    <w:name w:val="正文文本缩进 Char"/>
    <w:basedOn w:val="11"/>
    <w:link w:val="5"/>
    <w:qFormat/>
    <w:uiPriority w:val="18"/>
    <w:rPr>
      <w:rFonts w:ascii="Calibri" w:hAnsi="Calibri" w:eastAsia="宋体" w:cs="Times New Roman"/>
      <w:sz w:val="28"/>
      <w:szCs w:val="20"/>
    </w:rPr>
  </w:style>
  <w:style w:type="character" w:customStyle="1" w:styleId="16">
    <w:name w:val="页脚 Char"/>
    <w:basedOn w:val="11"/>
    <w:link w:val="7"/>
    <w:qFormat/>
    <w:uiPriority w:val="99"/>
    <w:rPr>
      <w:rFonts w:ascii="Tahoma" w:hAnsi="Tahoma" w:eastAsia="微软雅黑"/>
      <w:kern w:val="0"/>
      <w:sz w:val="18"/>
      <w:szCs w:val="18"/>
    </w:rPr>
  </w:style>
  <w:style w:type="character" w:customStyle="1" w:styleId="17">
    <w:name w:val="font41"/>
    <w:basedOn w:val="11"/>
    <w:qFormat/>
    <w:uiPriority w:val="0"/>
    <w:rPr>
      <w:rFonts w:hint="default" w:ascii="Calibri" w:hAnsi="Calibri" w:cs="Calibri"/>
      <w:color w:val="000000"/>
      <w:sz w:val="22"/>
      <w:szCs w:val="22"/>
      <w:u w:val="none"/>
    </w:rPr>
  </w:style>
  <w:style w:type="character" w:customStyle="1" w:styleId="18">
    <w:name w:val="font51"/>
    <w:basedOn w:val="11"/>
    <w:qFormat/>
    <w:uiPriority w:val="0"/>
    <w:rPr>
      <w:rFonts w:hint="eastAsia" w:ascii="微软雅黑" w:hAnsi="微软雅黑" w:eastAsia="微软雅黑" w:cs="微软雅黑"/>
      <w:color w:val="000000"/>
      <w:sz w:val="22"/>
      <w:szCs w:val="22"/>
      <w:u w:val="none"/>
      <w:vertAlign w:val="superscript"/>
    </w:rPr>
  </w:style>
  <w:style w:type="character" w:customStyle="1" w:styleId="19">
    <w:name w:val="批注框文本 Char"/>
    <w:basedOn w:val="11"/>
    <w:link w:val="6"/>
    <w:semiHidden/>
    <w:qFormat/>
    <w:uiPriority w:val="99"/>
    <w:rPr>
      <w:rFonts w:ascii="Tahoma" w:hAnsi="Tahoma" w:eastAsia="微软雅黑"/>
      <w:kern w:val="0"/>
      <w:sz w:val="18"/>
      <w:szCs w:val="18"/>
    </w:rPr>
  </w:style>
  <w:style w:type="character" w:customStyle="1" w:styleId="20">
    <w:name w:val="页眉 Char"/>
    <w:basedOn w:val="11"/>
    <w:link w:val="8"/>
    <w:qFormat/>
    <w:uiPriority w:val="99"/>
    <w:rPr>
      <w:rFonts w:ascii="Tahoma" w:hAnsi="Tahoma" w:eastAsia="微软雅黑"/>
      <w:kern w:val="0"/>
      <w:sz w:val="18"/>
      <w:szCs w:val="18"/>
    </w:rPr>
  </w:style>
  <w:style w:type="character" w:customStyle="1" w:styleId="21">
    <w:name w:val="font31"/>
    <w:basedOn w:val="11"/>
    <w:qFormat/>
    <w:uiPriority w:val="0"/>
    <w:rPr>
      <w:rFonts w:hint="eastAsia" w:ascii="宋体" w:hAnsi="宋体" w:eastAsia="宋体" w:cs="宋体"/>
      <w:color w:val="000000"/>
      <w:sz w:val="20"/>
      <w:szCs w:val="20"/>
      <w:u w:val="none"/>
    </w:rPr>
  </w:style>
  <w:style w:type="character" w:customStyle="1" w:styleId="22">
    <w:name w:val="font61"/>
    <w:basedOn w:val="11"/>
    <w:qFormat/>
    <w:uiPriority w:val="0"/>
    <w:rPr>
      <w:rFonts w:hint="eastAsia" w:ascii="宋体" w:hAnsi="宋体" w:eastAsia="宋体" w:cs="宋体"/>
      <w:color w:val="000000"/>
      <w:sz w:val="20"/>
      <w:szCs w:val="20"/>
      <w:u w:val="none"/>
    </w:rPr>
  </w:style>
  <w:style w:type="character" w:customStyle="1" w:styleId="23">
    <w:name w:val="font71"/>
    <w:basedOn w:val="11"/>
    <w:qFormat/>
    <w:uiPriority w:val="0"/>
    <w:rPr>
      <w:rFonts w:hint="eastAsia" w:ascii="宋体" w:hAnsi="宋体" w:eastAsia="宋体" w:cs="宋体"/>
      <w:color w:val="000000"/>
      <w:sz w:val="20"/>
      <w:szCs w:val="20"/>
      <w:u w:val="none"/>
    </w:rPr>
  </w:style>
  <w:style w:type="character" w:customStyle="1" w:styleId="24">
    <w:name w:val="font01"/>
    <w:basedOn w:val="11"/>
    <w:qFormat/>
    <w:uiPriority w:val="0"/>
    <w:rPr>
      <w:rFonts w:hint="eastAsia" w:ascii="宋体" w:hAnsi="宋体" w:eastAsia="宋体" w:cs="宋体"/>
      <w:color w:val="000000"/>
      <w:sz w:val="22"/>
      <w:szCs w:val="22"/>
      <w:u w:val="none"/>
    </w:rPr>
  </w:style>
  <w:style w:type="character" w:customStyle="1" w:styleId="25">
    <w:name w:val="font21"/>
    <w:basedOn w:val="11"/>
    <w:qFormat/>
    <w:uiPriority w:val="0"/>
    <w:rPr>
      <w:rFonts w:hint="eastAsia" w:ascii="宋体" w:hAnsi="宋体" w:eastAsia="宋体" w:cs="宋体"/>
      <w:color w:val="FF0000"/>
      <w:sz w:val="22"/>
      <w:szCs w:val="22"/>
      <w:u w:val="none"/>
    </w:rPr>
  </w:style>
  <w:style w:type="paragraph" w:styleId="26">
    <w:name w:val="List Paragraph"/>
    <w:basedOn w:val="1"/>
    <w:autoRedefine/>
    <w:unhideWhenUsed/>
    <w:qFormat/>
    <w:uiPriority w:val="99"/>
    <w:pPr>
      <w:ind w:left="444"/>
      <w:jc w:val="left"/>
    </w:pPr>
  </w:style>
  <w:style w:type="paragraph" w:customStyle="1" w:styleId="27">
    <w:name w:val="列出段落1"/>
    <w:basedOn w:val="1"/>
    <w:qFormat/>
    <w:uiPriority w:val="0"/>
    <w:pPr>
      <w:spacing w:line="360" w:lineRule="auto"/>
      <w:ind w:firstLine="420" w:firstLineChars="200"/>
      <w:jc w:val="left"/>
    </w:pPr>
    <w:rPr>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Pages>
  <Words>3294</Words>
  <Characters>3650</Characters>
  <Lines>11</Lines>
  <Paragraphs>3</Paragraphs>
  <TotalTime>28</TotalTime>
  <ScaleCrop>false</ScaleCrop>
  <LinksUpToDate>false</LinksUpToDate>
  <CharactersWithSpaces>3749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2024-12-25T03:22:00Z</dcterms:created>
  <dc:creator>wangkai</dc:creator>
  <cp:lastModifiedBy>WPS_1699519288</cp:lastModifiedBy>
  <cp:lastPrinted>2026-02-12T08:47:00Z</cp:lastPrinted>
  <dcterms:modified xsi:type="dcterms:W3CDTF">2026-06-02T08:58:54Z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eyJoZGlkIjoiYzA4ZmFjZjUxMmZjODIzOWQ2MjdlNTc2OTk1YzE1YjciLCJ1c2VySWQiOiIxNTU3Mjc2NjMwIn0=</vt:lpwstr>
  </property>
  <property fmtid="{D5CDD505-2E9C-101B-9397-08002B2CF9AE}" pid="3" name="KSOProductBuildVer">
    <vt:lpwstr>2052-12.1.0.26375</vt:lpwstr>
  </property>
  <property fmtid="{D5CDD505-2E9C-101B-9397-08002B2CF9AE}" pid="4" name="ICV">
    <vt:lpwstr>1B4EC5BC02A64139BD1A86A021615998_13</vt:lpwstr>
  </property>
</Properties>
</file>