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F1ABB" w14:textId="77777777" w:rsidR="00AB6050" w:rsidRDefault="00B2081A">
      <w:pPr>
        <w:pStyle w:val="1"/>
        <w:rPr>
          <w:rFonts w:ascii="Times New Roman" w:eastAsia="黑体" w:hAnsi="Times New Roman"/>
          <w:b w:val="0"/>
          <w:lang w:val="en-US" w:eastAsia="zh-CN"/>
        </w:rPr>
      </w:pPr>
      <w:r>
        <w:rPr>
          <w:rFonts w:ascii="Times New Roman" w:eastAsia="黑体" w:hAnsi="Times New Roman"/>
          <w:b w:val="0"/>
          <w:lang w:eastAsia="zh-CN"/>
        </w:rPr>
        <w:t>附件</w:t>
      </w:r>
      <w:r>
        <w:rPr>
          <w:rFonts w:ascii="Times New Roman" w:eastAsia="黑体" w:hAnsi="Times New Roman" w:hint="eastAsia"/>
          <w:b w:val="0"/>
          <w:lang w:val="en-US" w:eastAsia="zh-CN"/>
        </w:rPr>
        <w:t xml:space="preserve">4 </w:t>
      </w:r>
      <w:r>
        <w:rPr>
          <w:rFonts w:ascii="Times New Roman" w:eastAsia="黑体" w:hAnsi="Times New Roman" w:hint="eastAsia"/>
          <w:b w:val="0"/>
          <w:lang w:val="en-US" w:eastAsia="zh-CN"/>
        </w:rPr>
        <w:t>采购需求</w:t>
      </w:r>
    </w:p>
    <w:p w14:paraId="71C28B4E" w14:textId="77777777" w:rsidR="00AB6050" w:rsidRDefault="00B2081A">
      <w:pPr>
        <w:spacing w:line="360" w:lineRule="auto"/>
        <w:rPr>
          <w:rFonts w:asciiTheme="minorEastAsia" w:hAnsiTheme="minorEastAsia"/>
          <w:sz w:val="24"/>
          <w:szCs w:val="24"/>
        </w:rPr>
      </w:pPr>
      <w:r>
        <w:rPr>
          <w:rFonts w:asciiTheme="minorEastAsia" w:hAnsiTheme="minorEastAsia" w:hint="eastAsia"/>
          <w:sz w:val="24"/>
          <w:szCs w:val="24"/>
        </w:rPr>
        <w:t>一、</w:t>
      </w:r>
      <w:r>
        <w:rPr>
          <w:rStyle w:val="NormalCharacter"/>
          <w:rFonts w:asciiTheme="minorEastAsia" w:hAnsiTheme="minorEastAsia"/>
          <w:b/>
          <w:sz w:val="24"/>
          <w:szCs w:val="24"/>
        </w:rPr>
        <w:t>项目</w:t>
      </w:r>
      <w:r>
        <w:rPr>
          <w:rFonts w:asciiTheme="minorEastAsia" w:hAnsiTheme="minorEastAsia" w:hint="eastAsia"/>
          <w:sz w:val="24"/>
          <w:szCs w:val="24"/>
        </w:rPr>
        <w:t>名称</w:t>
      </w:r>
    </w:p>
    <w:p w14:paraId="087DE8B7" w14:textId="77777777" w:rsidR="00AB6050" w:rsidRDefault="00B2081A">
      <w:pPr>
        <w:spacing w:line="360" w:lineRule="auto"/>
        <w:ind w:firstLineChars="200" w:firstLine="480"/>
        <w:rPr>
          <w:rFonts w:asciiTheme="minorEastAsia" w:hAnsiTheme="minorEastAsia"/>
          <w:sz w:val="24"/>
          <w:szCs w:val="24"/>
        </w:rPr>
      </w:pPr>
      <w:r>
        <w:rPr>
          <w:rFonts w:ascii="宋体" w:eastAsia="宋体" w:hAnsi="宋体" w:cs="宋体" w:hint="eastAsia"/>
          <w:sz w:val="24"/>
          <w:szCs w:val="24"/>
        </w:rPr>
        <w:t>自然资源部天津海水淡化与综合利用研究所综合业务管理系统升级改造（</w:t>
      </w:r>
      <w:r>
        <w:rPr>
          <w:rFonts w:ascii="宋体" w:eastAsia="宋体" w:hAnsi="宋体" w:cs="宋体" w:hint="eastAsia"/>
          <w:sz w:val="24"/>
          <w:szCs w:val="24"/>
        </w:rPr>
        <w:t>2026</w:t>
      </w:r>
      <w:r>
        <w:rPr>
          <w:rFonts w:ascii="宋体" w:eastAsia="宋体" w:hAnsi="宋体" w:cs="宋体" w:hint="eastAsia"/>
          <w:sz w:val="24"/>
          <w:szCs w:val="24"/>
        </w:rPr>
        <w:t>年度）</w:t>
      </w:r>
    </w:p>
    <w:p w14:paraId="68D81980" w14:textId="77777777" w:rsidR="00AB6050" w:rsidRDefault="00B2081A">
      <w:pPr>
        <w:spacing w:line="360" w:lineRule="auto"/>
        <w:rPr>
          <w:rFonts w:asciiTheme="minorEastAsia" w:hAnsiTheme="minorEastAsia"/>
          <w:sz w:val="24"/>
          <w:szCs w:val="24"/>
        </w:rPr>
      </w:pPr>
      <w:r>
        <w:rPr>
          <w:rFonts w:asciiTheme="minorEastAsia" w:hAnsiTheme="minorEastAsia" w:hint="eastAsia"/>
          <w:sz w:val="24"/>
          <w:szCs w:val="24"/>
        </w:rPr>
        <w:t>二、项目预算</w:t>
      </w:r>
    </w:p>
    <w:p w14:paraId="455722E2" w14:textId="77777777" w:rsidR="00AB6050" w:rsidRDefault="00B2081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人民币</w:t>
      </w:r>
      <w:r>
        <w:rPr>
          <w:rFonts w:ascii="宋体" w:eastAsia="宋体" w:hAnsi="宋体" w:cs="宋体" w:hint="eastAsia"/>
          <w:sz w:val="24"/>
          <w:szCs w:val="24"/>
        </w:rPr>
        <w:t>55</w:t>
      </w:r>
      <w:r>
        <w:rPr>
          <w:rFonts w:ascii="宋体" w:eastAsia="宋体" w:hAnsi="宋体" w:cs="宋体" w:hint="eastAsia"/>
          <w:sz w:val="24"/>
          <w:szCs w:val="24"/>
        </w:rPr>
        <w:t>万元</w:t>
      </w:r>
    </w:p>
    <w:p w14:paraId="37DAB41B" w14:textId="77777777" w:rsidR="00AB6050" w:rsidRDefault="00B2081A">
      <w:pPr>
        <w:spacing w:line="360" w:lineRule="auto"/>
        <w:rPr>
          <w:rFonts w:asciiTheme="minorEastAsia" w:hAnsiTheme="minorEastAsia"/>
          <w:sz w:val="24"/>
          <w:szCs w:val="24"/>
        </w:rPr>
      </w:pPr>
      <w:r>
        <w:rPr>
          <w:rFonts w:asciiTheme="minorEastAsia" w:hAnsiTheme="minorEastAsia" w:hint="eastAsia"/>
          <w:sz w:val="24"/>
          <w:szCs w:val="24"/>
        </w:rPr>
        <w:t>三、需求内容</w:t>
      </w:r>
    </w:p>
    <w:p w14:paraId="64425539" w14:textId="1E5F6E07" w:rsidR="00AB6050" w:rsidRDefault="00B2081A">
      <w:pPr>
        <w:spacing w:line="360" w:lineRule="auto"/>
        <w:ind w:firstLine="420"/>
        <w:rPr>
          <w:rFonts w:ascii="宋体" w:eastAsia="宋体" w:hAnsi="宋体" w:cs="宋体"/>
          <w:sz w:val="24"/>
          <w:szCs w:val="24"/>
        </w:rPr>
      </w:pPr>
      <w:r>
        <w:rPr>
          <w:rFonts w:ascii="宋体" w:eastAsia="宋体" w:hAnsi="宋体" w:cs="宋体" w:hint="eastAsia"/>
          <w:sz w:val="24"/>
          <w:szCs w:val="24"/>
        </w:rPr>
        <w:t>为适配行业技术发展趋势，贴合日常办公业务迭代需求，持续夯实</w:t>
      </w:r>
      <w:r>
        <w:rPr>
          <w:rFonts w:ascii="宋体" w:eastAsia="宋体" w:hAnsi="宋体" w:cs="宋体" w:hint="eastAsia"/>
          <w:sz w:val="24"/>
          <w:szCs w:val="24"/>
        </w:rPr>
        <w:t>综合业务管理</w:t>
      </w:r>
      <w:r>
        <w:rPr>
          <w:rFonts w:ascii="宋体" w:eastAsia="宋体" w:hAnsi="宋体" w:cs="宋体" w:hint="eastAsia"/>
          <w:sz w:val="24"/>
          <w:szCs w:val="24"/>
        </w:rPr>
        <w:t>系统运行根基、拓展应用效能，进一步提升系统实用性与适配性，</w:t>
      </w:r>
      <w:proofErr w:type="gramStart"/>
      <w:r>
        <w:rPr>
          <w:rFonts w:ascii="宋体" w:eastAsia="宋体" w:hAnsi="宋体" w:cs="宋体" w:hint="eastAsia"/>
          <w:sz w:val="24"/>
          <w:szCs w:val="24"/>
        </w:rPr>
        <w:t>现启动</w:t>
      </w:r>
      <w:proofErr w:type="gramEnd"/>
      <w:r>
        <w:rPr>
          <w:rFonts w:ascii="宋体" w:eastAsia="宋体" w:hAnsi="宋体" w:cs="宋体" w:hint="eastAsia"/>
          <w:sz w:val="24"/>
          <w:szCs w:val="24"/>
        </w:rPr>
        <w:t>综合业务管理系统升级改造（</w:t>
      </w:r>
      <w:r>
        <w:rPr>
          <w:rFonts w:ascii="宋体" w:eastAsia="宋体" w:hAnsi="宋体" w:cs="宋体" w:hint="eastAsia"/>
          <w:sz w:val="24"/>
          <w:szCs w:val="24"/>
        </w:rPr>
        <w:t>2026</w:t>
      </w:r>
      <w:r>
        <w:rPr>
          <w:rFonts w:ascii="宋体" w:eastAsia="宋体" w:hAnsi="宋体" w:cs="宋体" w:hint="eastAsia"/>
          <w:sz w:val="24"/>
          <w:szCs w:val="24"/>
        </w:rPr>
        <w:t>年度）采购工作。本次项目主要包含底层技术同步升级、现有模块优化完善、全新功能模块增设三大建设内容，全面推动系统迭代提质。</w:t>
      </w:r>
    </w:p>
    <w:tbl>
      <w:tblPr>
        <w:tblW w:w="852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98"/>
        <w:gridCol w:w="1120"/>
        <w:gridCol w:w="7002"/>
      </w:tblGrid>
      <w:tr w:rsidR="00AB6050" w14:paraId="4B13B4B2" w14:textId="77777777">
        <w:trPr>
          <w:trHeight w:val="935"/>
        </w:trPr>
        <w:tc>
          <w:tcPr>
            <w:tcW w:w="398" w:type="dxa"/>
          </w:tcPr>
          <w:p w14:paraId="6C2D422C" w14:textId="77777777" w:rsidR="00AB6050" w:rsidRDefault="00B2081A">
            <w:pPr>
              <w:pStyle w:val="TableParagraph"/>
              <w:spacing w:before="99"/>
              <w:ind w:left="106"/>
              <w:rPr>
                <w:rFonts w:ascii="宋体" w:eastAsia="宋体" w:hAnsi="宋体" w:cs="宋体"/>
                <w:b/>
              </w:rPr>
            </w:pPr>
            <w:r>
              <w:rPr>
                <w:rFonts w:ascii="宋体" w:eastAsia="宋体" w:hAnsi="宋体" w:cs="宋体" w:hint="eastAsia"/>
                <w:b/>
                <w:w w:val="99"/>
              </w:rPr>
              <w:t>序</w:t>
            </w:r>
          </w:p>
          <w:p w14:paraId="03DDB2EA" w14:textId="77777777" w:rsidR="00AB6050" w:rsidRDefault="00AB6050">
            <w:pPr>
              <w:pStyle w:val="TableParagraph"/>
              <w:spacing w:before="7"/>
              <w:rPr>
                <w:rFonts w:ascii="宋体" w:eastAsia="宋体" w:hAnsi="宋体" w:cs="宋体"/>
                <w:sz w:val="15"/>
              </w:rPr>
            </w:pPr>
          </w:p>
          <w:p w14:paraId="011A917F" w14:textId="77777777" w:rsidR="00AB6050" w:rsidRDefault="00B2081A">
            <w:pPr>
              <w:pStyle w:val="TableParagraph"/>
              <w:ind w:left="106"/>
              <w:rPr>
                <w:rFonts w:ascii="宋体" w:eastAsia="宋体" w:hAnsi="宋体" w:cs="宋体"/>
                <w:b/>
              </w:rPr>
            </w:pPr>
            <w:r>
              <w:rPr>
                <w:rFonts w:ascii="宋体" w:eastAsia="宋体" w:hAnsi="宋体" w:cs="宋体" w:hint="eastAsia"/>
                <w:b/>
                <w:w w:val="99"/>
              </w:rPr>
              <w:t>号</w:t>
            </w:r>
          </w:p>
        </w:tc>
        <w:tc>
          <w:tcPr>
            <w:tcW w:w="1120" w:type="dxa"/>
          </w:tcPr>
          <w:p w14:paraId="51A31C16" w14:textId="77777777" w:rsidR="00AB6050" w:rsidRDefault="00AB6050">
            <w:pPr>
              <w:pStyle w:val="TableParagraph"/>
              <w:spacing w:before="12"/>
              <w:rPr>
                <w:rFonts w:ascii="宋体" w:eastAsia="宋体" w:hAnsi="宋体" w:cs="宋体"/>
                <w:sz w:val="25"/>
              </w:rPr>
            </w:pPr>
          </w:p>
          <w:p w14:paraId="64E11445" w14:textId="77777777" w:rsidR="00AB6050" w:rsidRDefault="00B2081A">
            <w:pPr>
              <w:pStyle w:val="TableParagraph"/>
              <w:ind w:left="123"/>
              <w:rPr>
                <w:rFonts w:ascii="宋体" w:eastAsia="宋体" w:hAnsi="宋体" w:cs="宋体"/>
                <w:b/>
              </w:rPr>
            </w:pPr>
            <w:r>
              <w:rPr>
                <w:rFonts w:ascii="宋体" w:eastAsia="宋体" w:hAnsi="宋体" w:cs="宋体" w:hint="eastAsia"/>
                <w:b/>
                <w:w w:val="95"/>
              </w:rPr>
              <w:t>分项名称</w:t>
            </w:r>
          </w:p>
        </w:tc>
        <w:tc>
          <w:tcPr>
            <w:tcW w:w="7002" w:type="dxa"/>
          </w:tcPr>
          <w:p w14:paraId="6FF278D7" w14:textId="77777777" w:rsidR="00AB6050" w:rsidRDefault="00AB6050">
            <w:pPr>
              <w:pStyle w:val="TableParagraph"/>
              <w:spacing w:before="12"/>
              <w:rPr>
                <w:rFonts w:ascii="宋体" w:eastAsia="宋体" w:hAnsi="宋体" w:cs="宋体"/>
                <w:sz w:val="25"/>
              </w:rPr>
            </w:pPr>
          </w:p>
          <w:p w14:paraId="3F96CFCA" w14:textId="77777777" w:rsidR="00AB6050" w:rsidRDefault="00B2081A">
            <w:pPr>
              <w:pStyle w:val="TableParagraph"/>
              <w:ind w:left="2878" w:right="2877"/>
              <w:jc w:val="center"/>
              <w:rPr>
                <w:rFonts w:ascii="宋体" w:eastAsia="宋体" w:hAnsi="宋体" w:cs="宋体"/>
                <w:b/>
              </w:rPr>
            </w:pPr>
            <w:r>
              <w:rPr>
                <w:rFonts w:ascii="宋体" w:eastAsia="宋体" w:hAnsi="宋体" w:cs="宋体" w:hint="eastAsia"/>
                <w:b/>
                <w:w w:val="95"/>
              </w:rPr>
              <w:t>简要描述内容</w:t>
            </w:r>
          </w:p>
        </w:tc>
      </w:tr>
      <w:tr w:rsidR="00AB6050" w14:paraId="4717FB6A" w14:textId="77777777">
        <w:trPr>
          <w:trHeight w:val="1176"/>
        </w:trPr>
        <w:tc>
          <w:tcPr>
            <w:tcW w:w="398" w:type="dxa"/>
          </w:tcPr>
          <w:p w14:paraId="388C6202" w14:textId="77777777" w:rsidR="00AB6050" w:rsidRDefault="00AB6050">
            <w:pPr>
              <w:pStyle w:val="TableParagraph"/>
              <w:rPr>
                <w:sz w:val="20"/>
              </w:rPr>
            </w:pPr>
          </w:p>
          <w:p w14:paraId="69A17D11" w14:textId="77777777" w:rsidR="00AB6050" w:rsidRDefault="00AB6050">
            <w:pPr>
              <w:pStyle w:val="TableParagraph"/>
              <w:spacing w:before="12"/>
              <w:rPr>
                <w:sz w:val="18"/>
              </w:rPr>
            </w:pPr>
          </w:p>
          <w:p w14:paraId="78F145B5" w14:textId="77777777" w:rsidR="00AB6050" w:rsidRDefault="00B2081A">
            <w:pPr>
              <w:pStyle w:val="TableParagraph"/>
              <w:ind w:left="159"/>
            </w:pPr>
            <w:r>
              <w:rPr>
                <w:w w:val="99"/>
              </w:rPr>
              <w:t>1</w:t>
            </w:r>
          </w:p>
        </w:tc>
        <w:tc>
          <w:tcPr>
            <w:tcW w:w="1120" w:type="dxa"/>
          </w:tcPr>
          <w:p w14:paraId="0D49CC59" w14:textId="77777777" w:rsidR="00AB6050" w:rsidRDefault="00AB6050">
            <w:pPr>
              <w:pStyle w:val="TableParagraph"/>
              <w:rPr>
                <w:rFonts w:ascii="宋体" w:eastAsia="宋体" w:hAnsi="宋体" w:cs="宋体"/>
                <w:szCs w:val="21"/>
              </w:rPr>
            </w:pPr>
          </w:p>
          <w:p w14:paraId="031B4FE5" w14:textId="77777777" w:rsidR="00AB6050" w:rsidRDefault="00B2081A">
            <w:pPr>
              <w:pStyle w:val="TableParagraph"/>
              <w:spacing w:before="1" w:line="417" w:lineRule="auto"/>
              <w:ind w:right="122"/>
              <w:rPr>
                <w:rFonts w:ascii="宋体" w:eastAsia="宋体" w:hAnsi="宋体" w:cs="宋体"/>
                <w:szCs w:val="21"/>
              </w:rPr>
            </w:pPr>
            <w:r>
              <w:rPr>
                <w:rFonts w:ascii="宋体" w:eastAsia="宋体" w:hAnsi="宋体" w:cs="宋体" w:hint="eastAsia"/>
                <w:szCs w:val="21"/>
              </w:rPr>
              <w:t>底层技术同步升级</w:t>
            </w:r>
          </w:p>
        </w:tc>
        <w:tc>
          <w:tcPr>
            <w:tcW w:w="7002" w:type="dxa"/>
          </w:tcPr>
          <w:p w14:paraId="5224032E" w14:textId="77777777" w:rsidR="00AB6050" w:rsidRDefault="00B2081A">
            <w:pPr>
              <w:pStyle w:val="TableParagraph"/>
              <w:spacing w:before="8" w:line="460" w:lineRule="atLeast"/>
              <w:ind w:right="102"/>
              <w:rPr>
                <w:rFonts w:ascii="宋体" w:eastAsia="宋体" w:hAnsi="宋体" w:cs="宋体"/>
                <w:szCs w:val="21"/>
              </w:rPr>
            </w:pPr>
            <w:r>
              <w:rPr>
                <w:rFonts w:ascii="宋体" w:eastAsia="宋体" w:hAnsi="宋体" w:cs="宋体" w:hint="eastAsia"/>
                <w:szCs w:val="21"/>
              </w:rPr>
              <w:t>对现有系统的传统架构（</w:t>
            </w:r>
            <w:r>
              <w:rPr>
                <w:rFonts w:ascii="宋体" w:eastAsia="宋体" w:hAnsi="宋体" w:cs="宋体" w:hint="eastAsia"/>
                <w:szCs w:val="21"/>
              </w:rPr>
              <w:t>Spring MVC</w:t>
            </w:r>
            <w:r>
              <w:rPr>
                <w:rFonts w:ascii="宋体" w:eastAsia="宋体" w:hAnsi="宋体" w:cs="宋体" w:hint="eastAsia"/>
                <w:szCs w:val="21"/>
              </w:rPr>
              <w:t>）进行全面技术改造，整体升级为现代化、主流的前后端分离技术架构，适配国产化服务器、操作系统、数据库、中间件。</w:t>
            </w:r>
          </w:p>
        </w:tc>
      </w:tr>
      <w:tr w:rsidR="00AB6050" w14:paraId="6CA3F359" w14:textId="77777777">
        <w:trPr>
          <w:trHeight w:val="1841"/>
        </w:trPr>
        <w:tc>
          <w:tcPr>
            <w:tcW w:w="398" w:type="dxa"/>
          </w:tcPr>
          <w:p w14:paraId="65E20610" w14:textId="77777777" w:rsidR="00AB6050" w:rsidRDefault="00AB6050">
            <w:pPr>
              <w:pStyle w:val="TableParagraph"/>
              <w:rPr>
                <w:sz w:val="20"/>
              </w:rPr>
            </w:pPr>
          </w:p>
          <w:p w14:paraId="65DDEE2C" w14:textId="77777777" w:rsidR="00AB6050" w:rsidRDefault="00AB6050">
            <w:pPr>
              <w:pStyle w:val="TableParagraph"/>
              <w:rPr>
                <w:sz w:val="20"/>
              </w:rPr>
            </w:pPr>
          </w:p>
          <w:p w14:paraId="5352D164" w14:textId="77777777" w:rsidR="00AB6050" w:rsidRDefault="00AB6050">
            <w:pPr>
              <w:pStyle w:val="TableParagraph"/>
              <w:spacing w:before="5"/>
              <w:rPr>
                <w:sz w:val="22"/>
              </w:rPr>
            </w:pPr>
          </w:p>
          <w:p w14:paraId="268A58BE" w14:textId="77777777" w:rsidR="00AB6050" w:rsidRDefault="00AB6050">
            <w:pPr>
              <w:pStyle w:val="TableParagraph"/>
              <w:ind w:left="159"/>
              <w:rPr>
                <w:w w:val="99"/>
              </w:rPr>
            </w:pPr>
          </w:p>
          <w:p w14:paraId="7B2A493B" w14:textId="77777777" w:rsidR="00AB6050" w:rsidRDefault="00B2081A">
            <w:pPr>
              <w:pStyle w:val="TableParagraph"/>
              <w:ind w:left="159"/>
            </w:pPr>
            <w:r>
              <w:rPr>
                <w:w w:val="99"/>
              </w:rPr>
              <w:t>2</w:t>
            </w:r>
          </w:p>
        </w:tc>
        <w:tc>
          <w:tcPr>
            <w:tcW w:w="1120" w:type="dxa"/>
          </w:tcPr>
          <w:p w14:paraId="51802E7B" w14:textId="77777777" w:rsidR="00AB6050" w:rsidRDefault="00AB6050">
            <w:pPr>
              <w:pStyle w:val="TableParagraph"/>
              <w:spacing w:before="11"/>
              <w:rPr>
                <w:rFonts w:ascii="宋体" w:eastAsia="宋体" w:hAnsi="宋体" w:cs="宋体"/>
                <w:szCs w:val="21"/>
              </w:rPr>
            </w:pPr>
          </w:p>
          <w:p w14:paraId="5A8E6D31" w14:textId="77777777" w:rsidR="00AB6050" w:rsidRDefault="00AB6050">
            <w:pPr>
              <w:pStyle w:val="TableParagraph"/>
              <w:spacing w:line="417" w:lineRule="auto"/>
              <w:ind w:left="123" w:right="122"/>
              <w:rPr>
                <w:rFonts w:ascii="宋体" w:eastAsia="宋体" w:hAnsi="宋体" w:cs="宋体"/>
                <w:szCs w:val="21"/>
              </w:rPr>
            </w:pPr>
          </w:p>
          <w:p w14:paraId="021EBDBD" w14:textId="77777777" w:rsidR="00AB6050" w:rsidRDefault="00B2081A">
            <w:pPr>
              <w:pStyle w:val="TableParagraph"/>
              <w:spacing w:line="417" w:lineRule="auto"/>
              <w:ind w:right="122"/>
              <w:rPr>
                <w:rFonts w:ascii="宋体" w:eastAsia="宋体" w:hAnsi="宋体" w:cs="宋体"/>
                <w:szCs w:val="21"/>
              </w:rPr>
            </w:pPr>
            <w:r>
              <w:rPr>
                <w:rFonts w:ascii="宋体" w:eastAsia="宋体" w:hAnsi="宋体" w:cs="宋体" w:hint="eastAsia"/>
                <w:szCs w:val="21"/>
              </w:rPr>
              <w:t>原有模块优化升级</w:t>
            </w:r>
          </w:p>
        </w:tc>
        <w:tc>
          <w:tcPr>
            <w:tcW w:w="7002" w:type="dxa"/>
          </w:tcPr>
          <w:p w14:paraId="4A17EC6D" w14:textId="77777777" w:rsidR="00AB6050" w:rsidRDefault="00B2081A">
            <w:pPr>
              <w:spacing w:line="360" w:lineRule="auto"/>
              <w:rPr>
                <w:rFonts w:ascii="宋体" w:eastAsia="宋体" w:hAnsi="宋体" w:cs="宋体"/>
                <w:szCs w:val="21"/>
              </w:rPr>
            </w:pPr>
            <w:r>
              <w:rPr>
                <w:rFonts w:ascii="宋体" w:eastAsia="宋体" w:hAnsi="宋体" w:cs="宋体" w:hint="eastAsia"/>
                <w:szCs w:val="21"/>
              </w:rPr>
              <w:t>在底层升级的基础上，对现有模块进行功能增强与体验优化。主要包括：综合门户、考勤管理（请假申请、请假流程完善、年假自动计算、销假处理、因私证件管理、离岗交接申请）、人事管理（因私护照增加下载</w:t>
            </w:r>
            <w:r>
              <w:rPr>
                <w:rFonts w:ascii="宋体" w:eastAsia="宋体" w:hAnsi="宋体" w:cs="宋体" w:hint="eastAsia"/>
                <w:szCs w:val="21"/>
              </w:rPr>
              <w:t>PDF</w:t>
            </w:r>
            <w:r>
              <w:rPr>
                <w:rFonts w:ascii="宋体" w:eastAsia="宋体" w:hAnsi="宋体" w:cs="宋体" w:hint="eastAsia"/>
                <w:szCs w:val="21"/>
              </w:rPr>
              <w:t>功能等基础功能优化）、公文管理（归档预推送、在线编辑、套红等功能的完善）、行政管理（印章申请、印章管理流程优化、车辆数据修改、公务租车、出差模块调整、集体户口迁出等部分功能）、通知公告（反馈检索、领导干部在岗状态、附件多上传、撤销进草稿箱等体验优化）。</w:t>
            </w:r>
          </w:p>
        </w:tc>
      </w:tr>
      <w:tr w:rsidR="00AB6050" w14:paraId="2895FAFC" w14:textId="77777777">
        <w:trPr>
          <w:trHeight w:val="714"/>
        </w:trPr>
        <w:tc>
          <w:tcPr>
            <w:tcW w:w="398" w:type="dxa"/>
          </w:tcPr>
          <w:p w14:paraId="1D9C1AD3" w14:textId="77777777" w:rsidR="00AB6050" w:rsidRDefault="00AB6050">
            <w:pPr>
              <w:pStyle w:val="TableParagraph"/>
              <w:rPr>
                <w:sz w:val="20"/>
              </w:rPr>
            </w:pPr>
          </w:p>
          <w:p w14:paraId="6F14A28B" w14:textId="77777777" w:rsidR="00AB6050" w:rsidRDefault="00AB6050">
            <w:pPr>
              <w:pStyle w:val="TableParagraph"/>
              <w:spacing w:before="3"/>
              <w:rPr>
                <w:sz w:val="24"/>
              </w:rPr>
            </w:pPr>
          </w:p>
          <w:p w14:paraId="1B2A4A99" w14:textId="77777777" w:rsidR="00AB6050" w:rsidRDefault="00AB6050">
            <w:pPr>
              <w:pStyle w:val="TableParagraph"/>
              <w:ind w:left="159"/>
              <w:rPr>
                <w:w w:val="99"/>
              </w:rPr>
            </w:pPr>
          </w:p>
          <w:p w14:paraId="32113139" w14:textId="77777777" w:rsidR="00AB6050" w:rsidRDefault="00AB6050">
            <w:pPr>
              <w:pStyle w:val="TableParagraph"/>
              <w:ind w:left="159"/>
              <w:rPr>
                <w:w w:val="99"/>
              </w:rPr>
            </w:pPr>
          </w:p>
          <w:p w14:paraId="32995C03" w14:textId="77777777" w:rsidR="00AB6050" w:rsidRDefault="00AB6050">
            <w:pPr>
              <w:pStyle w:val="TableParagraph"/>
              <w:ind w:left="159"/>
              <w:rPr>
                <w:w w:val="99"/>
              </w:rPr>
            </w:pPr>
          </w:p>
          <w:p w14:paraId="7E7C3CF7" w14:textId="77777777" w:rsidR="00AB6050" w:rsidRDefault="00AB6050">
            <w:pPr>
              <w:pStyle w:val="TableParagraph"/>
              <w:ind w:left="159"/>
              <w:rPr>
                <w:w w:val="99"/>
              </w:rPr>
            </w:pPr>
          </w:p>
          <w:p w14:paraId="0DFF515F" w14:textId="77777777" w:rsidR="00AB6050" w:rsidRDefault="00B2081A">
            <w:pPr>
              <w:pStyle w:val="TableParagraph"/>
              <w:ind w:left="159"/>
            </w:pPr>
            <w:r>
              <w:rPr>
                <w:w w:val="99"/>
              </w:rPr>
              <w:t>3</w:t>
            </w:r>
          </w:p>
        </w:tc>
        <w:tc>
          <w:tcPr>
            <w:tcW w:w="1120" w:type="dxa"/>
          </w:tcPr>
          <w:p w14:paraId="34085D31" w14:textId="77777777" w:rsidR="00AB6050" w:rsidRDefault="00AB6050">
            <w:pPr>
              <w:pStyle w:val="TableParagraph"/>
              <w:spacing w:before="11"/>
              <w:rPr>
                <w:rFonts w:ascii="宋体" w:eastAsia="宋体" w:hAnsi="宋体" w:cs="宋体"/>
                <w:szCs w:val="21"/>
              </w:rPr>
            </w:pPr>
          </w:p>
          <w:p w14:paraId="57EF514B" w14:textId="77777777" w:rsidR="00AB6050" w:rsidRDefault="00AB6050">
            <w:pPr>
              <w:pStyle w:val="TableParagraph"/>
              <w:spacing w:line="417" w:lineRule="auto"/>
              <w:ind w:left="335" w:right="122" w:hanging="212"/>
              <w:rPr>
                <w:rFonts w:ascii="宋体" w:eastAsia="宋体" w:hAnsi="宋体" w:cs="宋体"/>
                <w:szCs w:val="21"/>
              </w:rPr>
            </w:pPr>
          </w:p>
          <w:p w14:paraId="5F42EEA9" w14:textId="77777777" w:rsidR="00AB6050" w:rsidRDefault="00AB6050">
            <w:pPr>
              <w:pStyle w:val="TableParagraph"/>
              <w:spacing w:line="417" w:lineRule="auto"/>
              <w:ind w:left="335" w:right="122" w:hanging="212"/>
              <w:rPr>
                <w:rFonts w:ascii="宋体" w:eastAsia="宋体" w:hAnsi="宋体" w:cs="宋体"/>
                <w:szCs w:val="21"/>
              </w:rPr>
            </w:pPr>
          </w:p>
          <w:p w14:paraId="5D2B038A" w14:textId="77777777" w:rsidR="00AB6050" w:rsidRDefault="00B2081A">
            <w:pPr>
              <w:pStyle w:val="TableParagraph"/>
              <w:spacing w:line="417" w:lineRule="auto"/>
              <w:ind w:left="335" w:right="122" w:hanging="212"/>
              <w:rPr>
                <w:rFonts w:ascii="宋体" w:eastAsia="宋体" w:hAnsi="宋体" w:cs="宋体"/>
                <w:szCs w:val="21"/>
              </w:rPr>
            </w:pPr>
            <w:r>
              <w:rPr>
                <w:rFonts w:ascii="宋体" w:eastAsia="宋体" w:hAnsi="宋体" w:cs="宋体" w:hint="eastAsia"/>
                <w:szCs w:val="21"/>
              </w:rPr>
              <w:t>新增功能模块</w:t>
            </w:r>
          </w:p>
        </w:tc>
        <w:tc>
          <w:tcPr>
            <w:tcW w:w="7002" w:type="dxa"/>
          </w:tcPr>
          <w:p w14:paraId="4AF33DE4" w14:textId="77777777" w:rsidR="00AB6050" w:rsidRDefault="00B2081A">
            <w:pPr>
              <w:pStyle w:val="TableParagraph"/>
              <w:spacing w:line="470" w:lineRule="atLeast"/>
              <w:ind w:left="108" w:right="104"/>
              <w:rPr>
                <w:rFonts w:ascii="宋体" w:eastAsia="宋体" w:hAnsi="宋体" w:cs="宋体"/>
                <w:szCs w:val="21"/>
              </w:rPr>
            </w:pPr>
            <w:r>
              <w:rPr>
                <w:rFonts w:ascii="宋体" w:eastAsia="宋体" w:hAnsi="宋体" w:cs="宋体" w:hint="eastAsia"/>
                <w:szCs w:val="21"/>
              </w:rPr>
              <w:t>人事档案管理、所内要情（图文混排、首页展示）、房屋出租全流程（登记</w:t>
            </w:r>
            <w:r>
              <w:rPr>
                <w:rFonts w:ascii="宋体" w:eastAsia="宋体" w:hAnsi="宋体" w:cs="宋体" w:hint="eastAsia"/>
                <w:szCs w:val="21"/>
              </w:rPr>
              <w:t>/</w:t>
            </w:r>
            <w:r>
              <w:rPr>
                <w:rFonts w:ascii="宋体" w:eastAsia="宋体" w:hAnsi="宋体" w:cs="宋体" w:hint="eastAsia"/>
                <w:szCs w:val="21"/>
              </w:rPr>
              <w:t>出租</w:t>
            </w:r>
            <w:r>
              <w:rPr>
                <w:rFonts w:ascii="宋体" w:eastAsia="宋体" w:hAnsi="宋体" w:cs="宋体" w:hint="eastAsia"/>
                <w:szCs w:val="21"/>
              </w:rPr>
              <w:t>/</w:t>
            </w:r>
            <w:r>
              <w:rPr>
                <w:rFonts w:ascii="宋体" w:eastAsia="宋体" w:hAnsi="宋体" w:cs="宋体" w:hint="eastAsia"/>
                <w:szCs w:val="21"/>
              </w:rPr>
              <w:t>退租</w:t>
            </w:r>
            <w:r>
              <w:rPr>
                <w:rFonts w:ascii="宋体" w:eastAsia="宋体" w:hAnsi="宋体" w:cs="宋体" w:hint="eastAsia"/>
                <w:szCs w:val="21"/>
              </w:rPr>
              <w:t>/</w:t>
            </w:r>
            <w:r>
              <w:rPr>
                <w:rFonts w:ascii="宋体" w:eastAsia="宋体" w:hAnsi="宋体" w:cs="宋体" w:hint="eastAsia"/>
                <w:szCs w:val="21"/>
              </w:rPr>
              <w:t>续租</w:t>
            </w:r>
            <w:r>
              <w:rPr>
                <w:rFonts w:ascii="宋体" w:eastAsia="宋体" w:hAnsi="宋体" w:cs="宋体" w:hint="eastAsia"/>
                <w:szCs w:val="21"/>
              </w:rPr>
              <w:t>/</w:t>
            </w:r>
            <w:r>
              <w:rPr>
                <w:rFonts w:ascii="宋体" w:eastAsia="宋体" w:hAnsi="宋体" w:cs="宋体" w:hint="eastAsia"/>
                <w:szCs w:val="21"/>
              </w:rPr>
              <w:t>统计）、危险化学品采购管理、平台基地全部</w:t>
            </w:r>
            <w:r>
              <w:rPr>
                <w:rFonts w:ascii="宋体" w:eastAsia="宋体" w:hAnsi="宋体" w:cs="宋体" w:hint="eastAsia"/>
                <w:szCs w:val="21"/>
              </w:rPr>
              <w:t>9</w:t>
            </w:r>
            <w:r>
              <w:rPr>
                <w:rFonts w:ascii="宋体" w:eastAsia="宋体" w:hAnsi="宋体" w:cs="宋体" w:hint="eastAsia"/>
                <w:szCs w:val="21"/>
              </w:rPr>
              <w:t>类作业许可（小型维修、场地使用、设备申报、作业进场登记、参观调研、吊装作业、高处作业、临时用电、动火作业、有限空间作业）、成果管理（备案申请、入库申请含技术评审与自动编号）、纵向项目管理（立项、</w:t>
            </w:r>
            <w:r>
              <w:rPr>
                <w:rFonts w:ascii="宋体" w:eastAsia="宋体" w:hAnsi="宋体" w:cs="宋体" w:hint="eastAsia"/>
                <w:szCs w:val="21"/>
              </w:rPr>
              <w:lastRenderedPageBreak/>
              <w:t>合同签订含模板匹配、延期、结题、综合查询、项目</w:t>
            </w:r>
            <w:proofErr w:type="gramStart"/>
            <w:r>
              <w:rPr>
                <w:rFonts w:ascii="宋体" w:eastAsia="宋体" w:hAnsi="宋体" w:cs="宋体" w:hint="eastAsia"/>
                <w:szCs w:val="21"/>
              </w:rPr>
              <w:t>库状态</w:t>
            </w:r>
            <w:proofErr w:type="gramEnd"/>
            <w:r>
              <w:rPr>
                <w:rFonts w:ascii="宋体" w:eastAsia="宋体" w:hAnsi="宋体" w:cs="宋体" w:hint="eastAsia"/>
                <w:szCs w:val="21"/>
              </w:rPr>
              <w:t>更新）、资产管理（仪器异地使用申请、信息化设备台账管理）、办公用品出入库及台账。</w:t>
            </w:r>
          </w:p>
        </w:tc>
      </w:tr>
      <w:tr w:rsidR="00943399" w14:paraId="62020D3B" w14:textId="77777777" w:rsidTr="00943399">
        <w:trPr>
          <w:trHeight w:val="714"/>
        </w:trPr>
        <w:tc>
          <w:tcPr>
            <w:tcW w:w="398" w:type="dxa"/>
            <w:vAlign w:val="center"/>
          </w:tcPr>
          <w:p w14:paraId="75091AE6" w14:textId="4E0CCA06" w:rsidR="00943399" w:rsidRDefault="00943399" w:rsidP="00943399">
            <w:pPr>
              <w:pStyle w:val="TableParagraph"/>
              <w:jc w:val="center"/>
              <w:rPr>
                <w:sz w:val="20"/>
              </w:rPr>
            </w:pPr>
            <w:r>
              <w:rPr>
                <w:rFonts w:hint="eastAsia"/>
                <w:sz w:val="20"/>
              </w:rPr>
              <w:lastRenderedPageBreak/>
              <w:t>4</w:t>
            </w:r>
          </w:p>
        </w:tc>
        <w:tc>
          <w:tcPr>
            <w:tcW w:w="1120" w:type="dxa"/>
            <w:vAlign w:val="center"/>
          </w:tcPr>
          <w:p w14:paraId="7959E901" w14:textId="3BB9274B" w:rsidR="00943399" w:rsidRDefault="00943399" w:rsidP="00943399">
            <w:pPr>
              <w:pStyle w:val="TableParagraph"/>
              <w:spacing w:before="11"/>
              <w:jc w:val="center"/>
              <w:rPr>
                <w:rFonts w:ascii="宋体" w:eastAsia="宋体" w:hAnsi="宋体" w:cs="宋体"/>
                <w:szCs w:val="21"/>
              </w:rPr>
            </w:pPr>
            <w:r>
              <w:rPr>
                <w:rFonts w:ascii="宋体" w:eastAsia="宋体" w:hAnsi="宋体" w:cs="宋体"/>
                <w:szCs w:val="21"/>
              </w:rPr>
              <w:t>数据迁移</w:t>
            </w:r>
          </w:p>
        </w:tc>
        <w:tc>
          <w:tcPr>
            <w:tcW w:w="7002" w:type="dxa"/>
          </w:tcPr>
          <w:p w14:paraId="094CCA85" w14:textId="6A7FC494" w:rsidR="00943399" w:rsidRDefault="00943399" w:rsidP="00B2081A">
            <w:pPr>
              <w:pStyle w:val="TableParagraph"/>
              <w:spacing w:line="470" w:lineRule="atLeast"/>
              <w:ind w:left="108" w:right="104"/>
              <w:rPr>
                <w:rFonts w:ascii="宋体" w:eastAsia="宋体" w:hAnsi="宋体" w:cs="宋体" w:hint="eastAsia"/>
                <w:szCs w:val="21"/>
              </w:rPr>
            </w:pPr>
            <w:r w:rsidRPr="00943399">
              <w:rPr>
                <w:rFonts w:ascii="宋体" w:eastAsia="宋体" w:hAnsi="宋体" w:cs="宋体"/>
                <w:szCs w:val="21"/>
              </w:rPr>
              <w:t>须提供完整数据迁移方案，确保原系统历史数据（用户、组织、流程记录、公文、通知等）完整迁移且可用；新旧系统并行运行期间保证数据实时同步</w:t>
            </w:r>
            <w:r w:rsidR="00B2081A">
              <w:rPr>
                <w:rFonts w:ascii="宋体" w:eastAsia="宋体" w:hAnsi="宋体" w:cs="宋体"/>
                <w:szCs w:val="21"/>
              </w:rPr>
              <w:t>。</w:t>
            </w:r>
          </w:p>
        </w:tc>
      </w:tr>
    </w:tbl>
    <w:p w14:paraId="35015008" w14:textId="77777777" w:rsidR="00AB6050" w:rsidRDefault="00B2081A">
      <w:pPr>
        <w:spacing w:line="360" w:lineRule="auto"/>
        <w:rPr>
          <w:rFonts w:asciiTheme="minorEastAsia" w:hAnsiTheme="minorEastAsia"/>
          <w:sz w:val="24"/>
          <w:szCs w:val="24"/>
        </w:rPr>
      </w:pPr>
      <w:r>
        <w:rPr>
          <w:rFonts w:asciiTheme="minorEastAsia" w:hAnsiTheme="minorEastAsia" w:hint="eastAsia"/>
          <w:sz w:val="24"/>
          <w:szCs w:val="24"/>
        </w:rPr>
        <w:t>四、服务要求</w:t>
      </w:r>
    </w:p>
    <w:p w14:paraId="3CDBE061" w14:textId="77777777" w:rsidR="00AB6050" w:rsidRDefault="00B2081A">
      <w:pPr>
        <w:spacing w:line="360" w:lineRule="auto"/>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）保障系统的稳定运行，及时解决系统运</w:t>
      </w:r>
      <w:r>
        <w:rPr>
          <w:rFonts w:ascii="宋体" w:eastAsia="宋体" w:hAnsi="宋体" w:cs="宋体" w:hint="eastAsia"/>
          <w:sz w:val="24"/>
        </w:rPr>
        <w:t>行的故障，处理系统使用异常等问题。</w:t>
      </w:r>
    </w:p>
    <w:p w14:paraId="5055DDA2" w14:textId="77777777" w:rsidR="00AB6050" w:rsidRDefault="00B2081A">
      <w:pPr>
        <w:spacing w:line="360" w:lineRule="auto"/>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）协助进行系统数据调整，文字调整等的操作。</w:t>
      </w:r>
    </w:p>
    <w:p w14:paraId="58874F27" w14:textId="77777777" w:rsidR="00AB6050" w:rsidRDefault="00B2081A">
      <w:pPr>
        <w:spacing w:line="360" w:lineRule="auto"/>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）承担系统培训工作，提供针对用户的使用培训以及针对系统管理员的运</w:t>
      </w:r>
      <w:proofErr w:type="gramStart"/>
      <w:r>
        <w:rPr>
          <w:rFonts w:ascii="宋体" w:eastAsia="宋体" w:hAnsi="宋体" w:cs="宋体" w:hint="eastAsia"/>
          <w:sz w:val="24"/>
        </w:rPr>
        <w:t>维管理</w:t>
      </w:r>
      <w:proofErr w:type="gramEnd"/>
      <w:r>
        <w:rPr>
          <w:rFonts w:ascii="宋体" w:eastAsia="宋体" w:hAnsi="宋体" w:cs="宋体" w:hint="eastAsia"/>
          <w:sz w:val="24"/>
        </w:rPr>
        <w:t>培训。</w:t>
      </w:r>
    </w:p>
    <w:p w14:paraId="0BDE135D" w14:textId="77777777" w:rsidR="00AB6050" w:rsidRDefault="00B2081A">
      <w:pPr>
        <w:spacing w:line="360" w:lineRule="auto"/>
        <w:ind w:firstLineChars="200" w:firstLine="480"/>
        <w:rPr>
          <w:rFonts w:ascii="宋体" w:eastAsia="宋体" w:hAnsi="宋体" w:cs="宋体"/>
          <w:sz w:val="24"/>
        </w:rPr>
      </w:pPr>
      <w:bookmarkStart w:id="0" w:name="_GoBack"/>
      <w:bookmarkEnd w:id="0"/>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）进行补丁、升级包的更改。</w:t>
      </w:r>
    </w:p>
    <w:p w14:paraId="6F898133" w14:textId="77777777" w:rsidR="00AB6050" w:rsidRDefault="00B2081A">
      <w:pPr>
        <w:spacing w:line="360" w:lineRule="auto"/>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）突发问题的分析与解决。</w:t>
      </w:r>
    </w:p>
    <w:p w14:paraId="38018E59" w14:textId="77777777" w:rsidR="00AB6050" w:rsidRDefault="00B2081A">
      <w:pPr>
        <w:spacing w:line="360" w:lineRule="auto"/>
        <w:ind w:firstLineChars="200" w:firstLine="480"/>
        <w:rPr>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）提供其他由系统引起的或与系统相关的技术服务。</w:t>
      </w:r>
    </w:p>
    <w:p w14:paraId="75F9BB0D" w14:textId="77777777" w:rsidR="00AB6050" w:rsidRDefault="00B2081A">
      <w:pPr>
        <w:spacing w:line="360" w:lineRule="auto"/>
        <w:rPr>
          <w:rFonts w:ascii="宋体" w:eastAsia="宋体" w:hAnsi="宋体" w:cs="宋体"/>
          <w:sz w:val="24"/>
          <w:szCs w:val="24"/>
        </w:rPr>
      </w:pPr>
      <w:r>
        <w:rPr>
          <w:rFonts w:asciiTheme="minorEastAsia" w:hAnsiTheme="minorEastAsia" w:hint="eastAsia"/>
          <w:sz w:val="24"/>
          <w:szCs w:val="24"/>
        </w:rPr>
        <w:t>五、实施和项目管理要求</w:t>
      </w:r>
    </w:p>
    <w:p w14:paraId="2E6961CC" w14:textId="77777777" w:rsidR="00AB6050" w:rsidRDefault="00B2081A">
      <w:pPr>
        <w:pStyle w:val="a3"/>
        <w:spacing w:line="360" w:lineRule="auto"/>
        <w:ind w:firstLine="480"/>
        <w:rPr>
          <w:rFonts w:ascii="宋体" w:eastAsia="宋体" w:hAnsi="宋体" w:cs="宋体"/>
          <w:sz w:val="24"/>
          <w:szCs w:val="24"/>
        </w:rPr>
      </w:pPr>
      <w:r>
        <w:rPr>
          <w:rFonts w:ascii="宋体" w:eastAsia="宋体" w:hAnsi="宋体" w:cs="宋体" w:hint="eastAsia"/>
          <w:sz w:val="24"/>
          <w:szCs w:val="24"/>
        </w:rPr>
        <w:t>（一）工期要求</w:t>
      </w:r>
    </w:p>
    <w:p w14:paraId="7ADA44F6" w14:textId="77777777" w:rsidR="00AB6050" w:rsidRDefault="00B2081A">
      <w:pPr>
        <w:pStyle w:val="a3"/>
        <w:spacing w:line="360" w:lineRule="auto"/>
        <w:ind w:firstLine="480"/>
        <w:rPr>
          <w:rFonts w:ascii="宋体" w:eastAsia="宋体" w:hAnsi="宋体" w:cs="宋体"/>
          <w:sz w:val="24"/>
          <w:szCs w:val="24"/>
        </w:rPr>
      </w:pPr>
      <w:r>
        <w:rPr>
          <w:rFonts w:ascii="宋体" w:eastAsia="宋体" w:hAnsi="宋体" w:cs="宋体" w:hint="eastAsia"/>
          <w:sz w:val="24"/>
          <w:szCs w:val="24"/>
        </w:rPr>
        <w:t>交付周期为合同签订后</w:t>
      </w:r>
      <w:r>
        <w:rPr>
          <w:rFonts w:ascii="宋体" w:eastAsia="宋体" w:hAnsi="宋体" w:cs="宋体" w:hint="eastAsia"/>
          <w:sz w:val="24"/>
          <w:szCs w:val="24"/>
        </w:rPr>
        <w:t>6</w:t>
      </w:r>
      <w:r>
        <w:rPr>
          <w:rFonts w:ascii="宋体" w:eastAsia="宋体" w:hAnsi="宋体" w:cs="宋体" w:hint="eastAsia"/>
          <w:sz w:val="24"/>
          <w:szCs w:val="24"/>
        </w:rPr>
        <w:t>个月内完成全部功能上线，包含需求调研与设计、系统开发与测试、系统部署及试运行。</w:t>
      </w:r>
    </w:p>
    <w:p w14:paraId="658B19EE" w14:textId="77777777" w:rsidR="00AB6050" w:rsidRDefault="00B2081A">
      <w:pPr>
        <w:pStyle w:val="a3"/>
        <w:spacing w:line="360" w:lineRule="auto"/>
        <w:ind w:firstLine="480"/>
        <w:rPr>
          <w:rFonts w:ascii="宋体" w:eastAsia="宋体" w:hAnsi="宋体" w:cs="宋体"/>
          <w:sz w:val="24"/>
          <w:szCs w:val="24"/>
        </w:rPr>
      </w:pPr>
      <w:r>
        <w:rPr>
          <w:rFonts w:ascii="宋体" w:eastAsia="宋体" w:hAnsi="宋体" w:cs="宋体" w:hint="eastAsia"/>
          <w:sz w:val="24"/>
          <w:szCs w:val="24"/>
        </w:rPr>
        <w:t>（二）项目管理要求</w:t>
      </w:r>
    </w:p>
    <w:p w14:paraId="5DEA0784" w14:textId="77777777" w:rsidR="00AB6050" w:rsidRDefault="00B2081A">
      <w:pPr>
        <w:pStyle w:val="a3"/>
        <w:spacing w:line="360" w:lineRule="auto"/>
        <w:ind w:firstLine="480"/>
        <w:rPr>
          <w:rFonts w:ascii="宋体" w:eastAsia="宋体" w:hAnsi="宋体" w:cs="宋体"/>
          <w:sz w:val="24"/>
          <w:szCs w:val="24"/>
        </w:rPr>
      </w:pPr>
      <w:r>
        <w:rPr>
          <w:rFonts w:ascii="宋体" w:eastAsia="宋体" w:hAnsi="宋体" w:cs="宋体" w:hint="eastAsia"/>
          <w:sz w:val="24"/>
          <w:szCs w:val="24"/>
        </w:rPr>
        <w:t>实施过程控制：明确项目工作内容，开展工作任务分解，定期向甲方汇报项目进展，持续跟踪进度，严格控制项目实施过程中的变更项，持续开展风险识别，积极沟通项目工作。</w:t>
      </w:r>
    </w:p>
    <w:p w14:paraId="7EF88AC0" w14:textId="77777777" w:rsidR="00AB6050" w:rsidRDefault="00B2081A">
      <w:pPr>
        <w:spacing w:line="360" w:lineRule="auto"/>
        <w:ind w:firstLine="420"/>
      </w:pPr>
      <w:r>
        <w:rPr>
          <w:rFonts w:hint="eastAsia"/>
          <w:sz w:val="24"/>
          <w:szCs w:val="24"/>
        </w:rPr>
        <w:t>实施进度安排：按照项目工期要求合理开展项目进度计划，确保项目实施可行性基础上，建立合理的时间缓冲和冗余，及时向甲方汇报项目实施进度。</w:t>
      </w:r>
    </w:p>
    <w:p w14:paraId="68DFA9DD" w14:textId="77777777" w:rsidR="00AB6050" w:rsidRDefault="00B2081A">
      <w:pPr>
        <w:spacing w:line="360" w:lineRule="auto"/>
        <w:rPr>
          <w:rFonts w:asciiTheme="minorEastAsia" w:hAnsiTheme="minorEastAsia"/>
          <w:sz w:val="24"/>
          <w:szCs w:val="24"/>
        </w:rPr>
      </w:pPr>
      <w:r>
        <w:rPr>
          <w:rFonts w:asciiTheme="minorEastAsia" w:hAnsiTheme="minorEastAsia" w:hint="eastAsia"/>
          <w:sz w:val="24"/>
          <w:szCs w:val="24"/>
        </w:rPr>
        <w:t>六</w:t>
      </w:r>
      <w:r>
        <w:rPr>
          <w:rFonts w:asciiTheme="minorEastAsia" w:hAnsiTheme="minorEastAsia"/>
          <w:sz w:val="24"/>
          <w:szCs w:val="24"/>
        </w:rPr>
        <w:t>、交付物要求</w:t>
      </w:r>
    </w:p>
    <w:p w14:paraId="64531F40" w14:textId="77777777" w:rsidR="00AB6050" w:rsidRDefault="00B2081A">
      <w:pPr>
        <w:spacing w:line="360" w:lineRule="auto"/>
        <w:ind w:firstLineChars="200" w:firstLine="480"/>
        <w:rPr>
          <w:rFonts w:asciiTheme="minorEastAsia" w:hAnsiTheme="minorEastAsia"/>
          <w:sz w:val="24"/>
          <w:szCs w:val="24"/>
        </w:rPr>
      </w:pPr>
      <w:r>
        <w:rPr>
          <w:rFonts w:asciiTheme="minorEastAsia" w:hAnsiTheme="minorEastAsia"/>
          <w:sz w:val="24"/>
          <w:szCs w:val="24"/>
        </w:rPr>
        <w:t>至少应交付以下成果：</w:t>
      </w:r>
    </w:p>
    <w:p w14:paraId="3B48B763" w14:textId="77777777" w:rsidR="00AB6050" w:rsidRDefault="00B2081A">
      <w:pPr>
        <w:spacing w:line="360" w:lineRule="auto"/>
        <w:ind w:firstLineChars="100" w:firstLine="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sz w:val="24"/>
          <w:szCs w:val="24"/>
        </w:rPr>
        <w:t>项目建设方案、需求规格说明书、系统设计说明书。</w:t>
      </w:r>
    </w:p>
    <w:p w14:paraId="1CE693B5" w14:textId="77777777" w:rsidR="00AB6050" w:rsidRDefault="00B2081A">
      <w:pPr>
        <w:spacing w:line="360" w:lineRule="auto"/>
        <w:ind w:firstLineChars="100" w:firstLine="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sz w:val="24"/>
          <w:szCs w:val="24"/>
        </w:rPr>
        <w:t>测试计划、测试用例、测试报告、用户手册。</w:t>
      </w:r>
    </w:p>
    <w:p w14:paraId="6988BC06" w14:textId="77777777" w:rsidR="00AB6050" w:rsidRDefault="00B2081A">
      <w:pPr>
        <w:spacing w:line="360" w:lineRule="auto"/>
        <w:ind w:firstLineChars="100" w:firstLine="240"/>
        <w:rPr>
          <w:rFonts w:asciiTheme="minorEastAsia" w:hAnsiTheme="minorEastAsia"/>
          <w:sz w:val="24"/>
          <w:szCs w:val="24"/>
        </w:rPr>
      </w:pPr>
      <w:r>
        <w:rPr>
          <w:rFonts w:asciiTheme="minorEastAsia" w:hAnsiTheme="minorEastAsia" w:hint="eastAsia"/>
          <w:sz w:val="24"/>
          <w:szCs w:val="24"/>
        </w:rPr>
        <w:lastRenderedPageBreak/>
        <w:t>（</w:t>
      </w:r>
      <w:r>
        <w:rPr>
          <w:rFonts w:asciiTheme="minorEastAsia" w:hAnsiTheme="minorEastAsia" w:hint="eastAsia"/>
          <w:sz w:val="24"/>
          <w:szCs w:val="24"/>
        </w:rPr>
        <w:t>3</w:t>
      </w:r>
      <w:r>
        <w:rPr>
          <w:rFonts w:asciiTheme="minorEastAsia" w:hAnsiTheme="minorEastAsia" w:hint="eastAsia"/>
          <w:sz w:val="24"/>
          <w:szCs w:val="24"/>
        </w:rPr>
        <w:t>）</w:t>
      </w:r>
      <w:r>
        <w:rPr>
          <w:rFonts w:asciiTheme="minorEastAsia" w:hAnsiTheme="minorEastAsia"/>
          <w:sz w:val="24"/>
          <w:szCs w:val="24"/>
        </w:rPr>
        <w:t>源代码及约定范围内的技术成果移交材料。</w:t>
      </w:r>
    </w:p>
    <w:p w14:paraId="5601AB2F" w14:textId="77777777" w:rsidR="00AB6050" w:rsidRDefault="00B2081A">
      <w:pPr>
        <w:spacing w:line="360" w:lineRule="auto"/>
        <w:rPr>
          <w:rFonts w:asciiTheme="minorEastAsia" w:hAnsiTheme="minorEastAsia"/>
          <w:sz w:val="24"/>
          <w:szCs w:val="24"/>
        </w:rPr>
      </w:pPr>
      <w:r>
        <w:rPr>
          <w:rFonts w:asciiTheme="minorEastAsia" w:hAnsiTheme="minorEastAsia"/>
          <w:sz w:val="24"/>
          <w:szCs w:val="24"/>
        </w:rPr>
        <w:t>九、培训要求</w:t>
      </w:r>
    </w:p>
    <w:p w14:paraId="203283E3" w14:textId="77777777" w:rsidR="00AB6050" w:rsidRDefault="00B2081A">
      <w:pPr>
        <w:spacing w:line="360" w:lineRule="auto"/>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对使用系统的</w:t>
      </w:r>
      <w:r>
        <w:rPr>
          <w:rFonts w:asciiTheme="minorEastAsia" w:hAnsiTheme="minorEastAsia"/>
          <w:sz w:val="24"/>
          <w:szCs w:val="24"/>
        </w:rPr>
        <w:t>相关人员进行软件使用培训，培训方式地点应按用户要求进行。在培训时应提供相应课件及软件使用说明书。本项目的培训内容需要包括应用软件的功能、使用操作、日常维护方面。提供必要的免费培训服务，培训次数不少于</w:t>
      </w:r>
      <w:r>
        <w:rPr>
          <w:rFonts w:asciiTheme="minorEastAsia" w:hAnsiTheme="minorEastAsia"/>
          <w:sz w:val="24"/>
          <w:szCs w:val="24"/>
        </w:rPr>
        <w:t>2</w:t>
      </w:r>
      <w:r>
        <w:rPr>
          <w:rFonts w:asciiTheme="minorEastAsia" w:hAnsiTheme="minorEastAsia"/>
          <w:sz w:val="24"/>
          <w:szCs w:val="24"/>
        </w:rPr>
        <w:t>次。</w:t>
      </w:r>
    </w:p>
    <w:p w14:paraId="66084DC4" w14:textId="77777777" w:rsidR="00AB6050" w:rsidRDefault="00AB6050">
      <w:pPr>
        <w:spacing w:line="360" w:lineRule="auto"/>
        <w:rPr>
          <w:rFonts w:asciiTheme="minorEastAsia" w:hAnsiTheme="minorEastAsia"/>
          <w:sz w:val="24"/>
          <w:szCs w:val="24"/>
        </w:rPr>
      </w:pPr>
    </w:p>
    <w:sectPr w:rsidR="00AB60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wang07">
    <w15:presenceInfo w15:providerId="WPS Office" w15:userId="3222096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1A8"/>
    <w:rsid w:val="FF5F1703"/>
    <w:rsid w:val="000963B9"/>
    <w:rsid w:val="00117D9E"/>
    <w:rsid w:val="001655DB"/>
    <w:rsid w:val="00165CFD"/>
    <w:rsid w:val="001848D6"/>
    <w:rsid w:val="001978DB"/>
    <w:rsid w:val="001D47C4"/>
    <w:rsid w:val="002326D1"/>
    <w:rsid w:val="00276BBD"/>
    <w:rsid w:val="003145FE"/>
    <w:rsid w:val="0036350A"/>
    <w:rsid w:val="003761BE"/>
    <w:rsid w:val="004023AB"/>
    <w:rsid w:val="0044582C"/>
    <w:rsid w:val="004B7EED"/>
    <w:rsid w:val="004D566B"/>
    <w:rsid w:val="00546322"/>
    <w:rsid w:val="005B2EB5"/>
    <w:rsid w:val="005B75E7"/>
    <w:rsid w:val="005F06CF"/>
    <w:rsid w:val="006641A8"/>
    <w:rsid w:val="00696300"/>
    <w:rsid w:val="006D4E75"/>
    <w:rsid w:val="00707F2D"/>
    <w:rsid w:val="00795C35"/>
    <w:rsid w:val="007D3C3B"/>
    <w:rsid w:val="008075C7"/>
    <w:rsid w:val="00825B90"/>
    <w:rsid w:val="008513DC"/>
    <w:rsid w:val="00917D04"/>
    <w:rsid w:val="00943399"/>
    <w:rsid w:val="00981E13"/>
    <w:rsid w:val="009A730C"/>
    <w:rsid w:val="00A34A03"/>
    <w:rsid w:val="00AB6050"/>
    <w:rsid w:val="00B2081A"/>
    <w:rsid w:val="00B4443A"/>
    <w:rsid w:val="00C50CB5"/>
    <w:rsid w:val="00C81632"/>
    <w:rsid w:val="00CB4B09"/>
    <w:rsid w:val="00CE4490"/>
    <w:rsid w:val="00D4387C"/>
    <w:rsid w:val="00E571F2"/>
    <w:rsid w:val="00FD5E71"/>
    <w:rsid w:val="01D132D4"/>
    <w:rsid w:val="056F2E0E"/>
    <w:rsid w:val="0B7F5D75"/>
    <w:rsid w:val="0BA7380B"/>
    <w:rsid w:val="0E230C39"/>
    <w:rsid w:val="10E30B54"/>
    <w:rsid w:val="13633155"/>
    <w:rsid w:val="140571AA"/>
    <w:rsid w:val="168F5BC3"/>
    <w:rsid w:val="18095635"/>
    <w:rsid w:val="18B57FF4"/>
    <w:rsid w:val="18C04AF3"/>
    <w:rsid w:val="190D7311"/>
    <w:rsid w:val="1DEF713E"/>
    <w:rsid w:val="1E0F6EEE"/>
    <w:rsid w:val="1FF02946"/>
    <w:rsid w:val="1FFF496F"/>
    <w:rsid w:val="21CC185A"/>
    <w:rsid w:val="2238400E"/>
    <w:rsid w:val="229B128E"/>
    <w:rsid w:val="22B61C24"/>
    <w:rsid w:val="29F050DC"/>
    <w:rsid w:val="2C051880"/>
    <w:rsid w:val="2DD3186E"/>
    <w:rsid w:val="31E96171"/>
    <w:rsid w:val="36A4589B"/>
    <w:rsid w:val="3C4C04C9"/>
    <w:rsid w:val="3DE96514"/>
    <w:rsid w:val="3F402745"/>
    <w:rsid w:val="42383BFD"/>
    <w:rsid w:val="498E0956"/>
    <w:rsid w:val="4990701B"/>
    <w:rsid w:val="4AD40855"/>
    <w:rsid w:val="4B074409"/>
    <w:rsid w:val="4DCC16A4"/>
    <w:rsid w:val="56D96FD1"/>
    <w:rsid w:val="589B7EF4"/>
    <w:rsid w:val="58E446C9"/>
    <w:rsid w:val="5A925346"/>
    <w:rsid w:val="5E0E0B57"/>
    <w:rsid w:val="5F5E66D0"/>
    <w:rsid w:val="679D34B6"/>
    <w:rsid w:val="69732C11"/>
    <w:rsid w:val="6A072AD7"/>
    <w:rsid w:val="6A0E36C1"/>
    <w:rsid w:val="6B531328"/>
    <w:rsid w:val="6C132789"/>
    <w:rsid w:val="6DE53B02"/>
    <w:rsid w:val="6EE82732"/>
    <w:rsid w:val="73377043"/>
    <w:rsid w:val="77877D29"/>
    <w:rsid w:val="7A6B4218"/>
    <w:rsid w:val="7B1F1C4A"/>
    <w:rsid w:val="7BE20E55"/>
    <w:rsid w:val="7FBA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uiPriority w:val="10"/>
    <w:qFormat/>
    <w:pPr>
      <w:keepNext/>
      <w:spacing w:before="240" w:after="60" w:line="240" w:lineRule="atLeast"/>
      <w:outlineLvl w:val="0"/>
    </w:pPr>
    <w:rPr>
      <w:rFonts w:ascii="Arial" w:eastAsia="宋体" w:hAnsi="Arial" w:cs="Times New Roman"/>
      <w:b/>
      <w:kern w:val="28"/>
      <w:sz w:val="28"/>
      <w:szCs w:val="20"/>
      <w:lang w:val="fi-FI" w:eastAsia="en-US"/>
    </w:rPr>
  </w:style>
  <w:style w:type="paragraph" w:styleId="2">
    <w:name w:val="heading 2"/>
    <w:basedOn w:val="a"/>
    <w:next w:val="a"/>
    <w:qFormat/>
    <w:pPr>
      <w:keepNext/>
      <w:keepLines/>
      <w:spacing w:line="360" w:lineRule="auto"/>
      <w:jc w:val="left"/>
      <w:outlineLvl w:val="1"/>
    </w:pPr>
    <w:rPr>
      <w:rFonts w:ascii="Times New Roman" w:eastAsia="宋体" w:hAnsi="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semiHidden/>
    <w:unhideWhenUsed/>
    <w:qFormat/>
    <w:pPr>
      <w:ind w:firstLineChars="200" w:firstLine="420"/>
    </w:pPr>
  </w:style>
  <w:style w:type="paragraph" w:styleId="a4">
    <w:name w:val="Date"/>
    <w:basedOn w:val="a"/>
    <w:next w:val="a"/>
    <w:link w:val="Char"/>
    <w:uiPriority w:val="99"/>
    <w:semiHidden/>
    <w:unhideWhenUsed/>
    <w:qFormat/>
    <w:pPr>
      <w:ind w:leftChars="2500" w:left="100"/>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4"/>
    <w:uiPriority w:val="99"/>
    <w:semiHidden/>
    <w:qFormat/>
  </w:style>
  <w:style w:type="character" w:customStyle="1" w:styleId="NormalCharacter">
    <w:name w:val="NormalCharacter"/>
    <w:semiHidden/>
    <w:qFormat/>
  </w:style>
  <w:style w:type="paragraph" w:customStyle="1" w:styleId="TableParagraph">
    <w:name w:val="Table Paragraph"/>
    <w:basedOn w:val="a"/>
    <w:uiPriority w:val="1"/>
    <w:qFormat/>
    <w:rPr>
      <w:rFonts w:ascii="仿宋" w:eastAsia="仿宋" w:hAnsi="仿宋" w:cs="仿宋"/>
    </w:rPr>
  </w:style>
  <w:style w:type="paragraph" w:styleId="aa">
    <w:name w:val="Balloon Text"/>
    <w:basedOn w:val="a"/>
    <w:link w:val="Char2"/>
    <w:uiPriority w:val="99"/>
    <w:semiHidden/>
    <w:unhideWhenUsed/>
    <w:rsid w:val="00943399"/>
    <w:rPr>
      <w:sz w:val="18"/>
      <w:szCs w:val="18"/>
    </w:rPr>
  </w:style>
  <w:style w:type="character" w:customStyle="1" w:styleId="Char2">
    <w:name w:val="批注框文本 Char"/>
    <w:basedOn w:val="a0"/>
    <w:link w:val="aa"/>
    <w:uiPriority w:val="99"/>
    <w:semiHidden/>
    <w:rsid w:val="00943399"/>
    <w:rPr>
      <w:rFonts w:asciiTheme="minorHAnsi" w:eastAsiaTheme="minorEastAsia" w:hAnsiTheme="minorHAnsi" w:cstheme="minorBidi"/>
      <w:kern w:val="2"/>
      <w:sz w:val="18"/>
      <w:szCs w:val="1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uiPriority w:val="10"/>
    <w:qFormat/>
    <w:pPr>
      <w:keepNext/>
      <w:spacing w:before="240" w:after="60" w:line="240" w:lineRule="atLeast"/>
      <w:outlineLvl w:val="0"/>
    </w:pPr>
    <w:rPr>
      <w:rFonts w:ascii="Arial" w:eastAsia="宋体" w:hAnsi="Arial" w:cs="Times New Roman"/>
      <w:b/>
      <w:kern w:val="28"/>
      <w:sz w:val="28"/>
      <w:szCs w:val="20"/>
      <w:lang w:val="fi-FI" w:eastAsia="en-US"/>
    </w:rPr>
  </w:style>
  <w:style w:type="paragraph" w:styleId="2">
    <w:name w:val="heading 2"/>
    <w:basedOn w:val="a"/>
    <w:next w:val="a"/>
    <w:qFormat/>
    <w:pPr>
      <w:keepNext/>
      <w:keepLines/>
      <w:spacing w:line="360" w:lineRule="auto"/>
      <w:jc w:val="left"/>
      <w:outlineLvl w:val="1"/>
    </w:pPr>
    <w:rPr>
      <w:rFonts w:ascii="Times New Roman" w:eastAsia="宋体" w:hAnsi="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semiHidden/>
    <w:unhideWhenUsed/>
    <w:qFormat/>
    <w:pPr>
      <w:ind w:firstLineChars="200" w:firstLine="420"/>
    </w:pPr>
  </w:style>
  <w:style w:type="paragraph" w:styleId="a4">
    <w:name w:val="Date"/>
    <w:basedOn w:val="a"/>
    <w:next w:val="a"/>
    <w:link w:val="Char"/>
    <w:uiPriority w:val="99"/>
    <w:semiHidden/>
    <w:unhideWhenUsed/>
    <w:qFormat/>
    <w:pPr>
      <w:ind w:leftChars="2500" w:left="100"/>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4"/>
    <w:uiPriority w:val="99"/>
    <w:semiHidden/>
    <w:qFormat/>
  </w:style>
  <w:style w:type="character" w:customStyle="1" w:styleId="NormalCharacter">
    <w:name w:val="NormalCharacter"/>
    <w:semiHidden/>
    <w:qFormat/>
  </w:style>
  <w:style w:type="paragraph" w:customStyle="1" w:styleId="TableParagraph">
    <w:name w:val="Table Paragraph"/>
    <w:basedOn w:val="a"/>
    <w:uiPriority w:val="1"/>
    <w:qFormat/>
    <w:rPr>
      <w:rFonts w:ascii="仿宋" w:eastAsia="仿宋" w:hAnsi="仿宋" w:cs="仿宋"/>
    </w:rPr>
  </w:style>
  <w:style w:type="paragraph" w:styleId="aa">
    <w:name w:val="Balloon Text"/>
    <w:basedOn w:val="a"/>
    <w:link w:val="Char2"/>
    <w:uiPriority w:val="99"/>
    <w:semiHidden/>
    <w:unhideWhenUsed/>
    <w:rsid w:val="00943399"/>
    <w:rPr>
      <w:sz w:val="18"/>
      <w:szCs w:val="18"/>
    </w:rPr>
  </w:style>
  <w:style w:type="character" w:customStyle="1" w:styleId="Char2">
    <w:name w:val="批注框文本 Char"/>
    <w:basedOn w:val="a0"/>
    <w:link w:val="aa"/>
    <w:uiPriority w:val="99"/>
    <w:semiHidden/>
    <w:rsid w:val="00943399"/>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玮 孙</dc:creator>
  <cp:lastModifiedBy>admin</cp:lastModifiedBy>
  <cp:revision>7</cp:revision>
  <cp:lastPrinted>2026-05-26T02:39:00Z</cp:lastPrinted>
  <dcterms:created xsi:type="dcterms:W3CDTF">2025-01-15T17:28:00Z</dcterms:created>
  <dcterms:modified xsi:type="dcterms:W3CDTF">2026-05-26T02:48:00Z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eyJoZGlkIjoiOTY4YzY1ZTA1Y2FlOTA3MmYzZDViMTUwZGM2ZmUyMjgiLCJ1c2VySWQiOiIxOTYyNzc1NSJ9</vt:lpwstr>
  </property>
  <property fmtid="{D5CDD505-2E9C-101B-9397-08002B2CF9AE}" pid="3" name="KSOProductBuildVer">
    <vt:lpwstr>2052-12.1.0.26375</vt:lpwstr>
  </property>
  <property fmtid="{D5CDD505-2E9C-101B-9397-08002B2CF9AE}" pid="4" name="ICV">
    <vt:lpwstr>CD86F918A0A64A9D8277F011A3AFEBC2_13</vt:lpwstr>
  </property>
</Properties>
</file>